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5fd47b5f845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5362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McCune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w:t>
      </w:r>
    </w:p>
    <w:p>
      <w:pPr>
        <w:spacing w:before="0" w:after="0" w:line="408" w:lineRule="exact"/>
        <w:ind w:left="0" w:right="0" w:firstLine="576"/>
        <w:jc w:val="left"/>
      </w:pPr>
      <w:r>
        <w:rPr>
          <w:u w:val="single"/>
        </w:rPr>
        <w:t xml:space="preserve">(a) $2,000,000 for fiscal year 2021;</w:t>
      </w:r>
    </w:p>
    <w:p>
      <w:pPr>
        <w:spacing w:before="0" w:after="0" w:line="408" w:lineRule="exact"/>
        <w:ind w:left="0" w:right="0" w:firstLine="576"/>
        <w:jc w:val="left"/>
      </w:pPr>
      <w:r>
        <w:rPr>
          <w:u w:val="single"/>
        </w:rPr>
        <w:t xml:space="preserve">(b) $2,750,000 in each fiscal year 2022 and 2023;</w:t>
      </w:r>
    </w:p>
    <w:p>
      <w:pPr>
        <w:spacing w:before="0" w:after="0" w:line="408" w:lineRule="exact"/>
        <w:ind w:left="0" w:right="0" w:firstLine="576"/>
        <w:jc w:val="left"/>
      </w:pPr>
      <w:r>
        <w:rPr>
          <w:u w:val="single"/>
        </w:rPr>
        <w:t xml:space="preserve">(c) $3,500,000 in each fiscal year 2024 and 2025; and</w:t>
      </w:r>
    </w:p>
    <w:p>
      <w:pPr>
        <w:spacing w:before="0" w:after="0" w:line="408" w:lineRule="exact"/>
        <w:ind w:left="0" w:right="0" w:firstLine="576"/>
        <w:jc w:val="left"/>
      </w:pPr>
      <w:r>
        <w:rPr>
          <w:u w:val="single"/>
        </w:rPr>
        <w:t xml:space="preserve">(d) $4,000,000 in fiscal year 2026 and each fiscal year thereafter</w:t>
      </w:r>
      <w:r>
        <w:rPr/>
        <w:t xml:space="preserve">.</w:t>
      </w:r>
    </w:p>
    <w:p>
      <w:pPr>
        <w:spacing w:before="0" w:after="0" w:line="408" w:lineRule="exact"/>
        <w:ind w:left="0" w:right="0" w:firstLine="576"/>
        <w:jc w:val="left"/>
      </w:pPr>
      <w:r>
        <w:rPr>
          <w:u w:val="single"/>
        </w:rPr>
        <w:t xml:space="preserve">(e) To support inclusiveness at fair events, a portion of the additional funds provided to fairs as a result of this act must be prioritized to be spent on educational programs and outreach that are reflective of the diversity within a fair's local population.</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a649749c4129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3dcca082a41aa" /><Relationship Type="http://schemas.openxmlformats.org/officeDocument/2006/relationships/footer" Target="/word/footer1.xml" Id="Ra649749c41294c52" /></Relationships>
</file>