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48968f7f848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Robinson and Lovick)</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workforce education investment advanced computing surcharge to provider clinics and affiliated organizations;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w:t>
      </w:r>
      <w:r>
        <w:rPr>
          <w:u w:val="single"/>
        </w:rPr>
        <w:t xml:space="preserve">(a)</w:t>
      </w:r>
      <w:r>
        <w:rPr/>
        <w:t xml:space="preserve"> The workforce education investment surcharge under this section does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hospital as defined in RCW 70.41.020, including any hospital that comes within the scope of chapter 71.12 RCW if the hospital is also licensed under chapter 70.41 RCW</w:t>
      </w:r>
      <w:r>
        <w:rPr>
          <w:u w:val="single"/>
        </w:rPr>
        <w:t xml:space="preserve">; or</w:t>
      </w:r>
    </w:p>
    <w:p>
      <w:pPr>
        <w:spacing w:before="0" w:after="0" w:line="408" w:lineRule="exact"/>
        <w:ind w:left="0" w:right="0" w:firstLine="576"/>
        <w:jc w:val="left"/>
      </w:pPr>
      <w:r>
        <w:rPr>
          <w:u w:val="single"/>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u w:val="single"/>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u w:val="single"/>
        </w:rPr>
        <w:t xml:space="preserve">(c) For purposes of the exemption in (a)(ii) of this subsection:</w:t>
      </w:r>
    </w:p>
    <w:p>
      <w:pPr>
        <w:spacing w:before="0" w:after="0" w:line="408" w:lineRule="exact"/>
        <w:ind w:left="0" w:right="0" w:firstLine="576"/>
        <w:jc w:val="left"/>
      </w:pPr>
      <w:r>
        <w:rPr>
          <w:u w:val="single"/>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u w:val="single"/>
        </w:rPr>
        <w:t xml:space="preserve">(ii) "Primary care" means wellness and prevention services and the diagnosis and treatment of health conditions</w:t>
      </w:r>
      <w:r>
        <w:rPr/>
        <w:t xml:space="preserve">.</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8c6b2be795dc4f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900abb5f44c7b" /><Relationship Type="http://schemas.openxmlformats.org/officeDocument/2006/relationships/footer" Target="/word/footer1.xml" Id="R8c6b2be795dc4f59" /></Relationships>
</file>