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626fbb6a441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Liias, Randall, Carlyle, Cleveland, Das, Dhingra, Hunt, Kuderer, Lovelett, Lovick, Mullet, Nguyen, Nobles, Rolfes, Salomon, Trudeau, Wellman, and C. Wilson)</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82.44.200; amending 2021 c 333 ss 110, 111, and 103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Except as otherwise provided in this act, it is the intent of the legislature that the funding levels specified in LEAP Transportation Document 2022-A as developed March 9,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Except as otherwise provided in this act, it is the intent of the legislature that the funding levels specified in LEAP Transportation Document 2022-B as developed March 9, 2022, represents a commitment to provide move ahead WA-related appropriations to the agencies, programs, and activities, at the amounts identified therein, through fiscal year 2038.</w:t>
      </w:r>
    </w:p>
    <w:p>
      <w:pPr>
        <w:spacing w:before="0" w:after="0" w:line="408" w:lineRule="exact"/>
        <w:ind w:left="0" w:right="0" w:firstLine="576"/>
        <w:jc w:val="left"/>
      </w:pPr>
      <w:r>
        <w:rPr/>
        <w:t xml:space="preserve">(4)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24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$103,000</w:t>
      </w:r>
    </w:p>
    <w:p>
      <w:pPr>
        <w:tabs>
          <w:tab w:val="right" w:leader="dot" w:pos="9936"/>
        </w:tabs>
        <w:ind w:left="0" w:right="0" w:firstLine="1440"/>
      </w:pPr>
      <w:r>
        <w:rPr/>
        <w:t xml:space="preserve">TOTAL APPROPRIATION</w:t>
      </w:r>
      <w:r>
        <w:tab/>
      </w:r>
      <w:r>
        <w:rPr/>
        <w:t xml:space="preserve">$1,363,000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$569,000 of the move ahead WA flexible account</w:t>
      </w:r>
      <w:r>
        <w:rPr>
          <w:rFonts w:ascii="Times New Roman" w:hAnsi="Times New Roman"/>
        </w:rPr>
        <w:t xml:space="preserve">—</w:t>
      </w:r>
      <w:r>
        <w:rPr/>
        <w:t xml:space="preserve">state appropriation and $103,000 of the agency financial transaction account</w:t>
      </w:r>
      <w:r>
        <w:rPr>
          <w:rFonts w:ascii="Times New Roman" w:hAnsi="Times New Roman"/>
        </w:rPr>
        <w:t xml:space="preserve">—</w:t>
      </w:r>
      <w:r>
        <w:rPr/>
        <w:t xml:space="preserve">state are provided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chapter . . . (Engrossed Substitute Senate Bill No. 5815), Laws of 2022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w:t>
      </w:r>
    </w:p>
    <w:p>
      <w:pPr>
        <w:tabs>
          <w:tab w:val="right" w:leader="dot" w:pos="9936"/>
        </w:tabs>
        <w:ind w:left="0" w:right="0" w:firstLine="1440"/>
      </w:pPr>
      <w:r>
        <w:rPr/>
        <w:t xml:space="preserve">TOTAL APPROPRIATION</w:t>
      </w:r>
      <w:r>
        <w:tab/>
      </w:r>
      <w:r>
        <w:rPr/>
        <w:t xml:space="preserve">$360,000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 of the move ahead WA flexible account</w:t>
      </w:r>
      <w:r>
        <w:rPr>
          <w:rFonts w:ascii="Times New Roman" w:hAnsi="Times New Roman"/>
        </w:rPr>
        <w:t xml:space="preserve">—</w:t>
      </w:r>
      <w:r>
        <w:rPr/>
        <w:t xml:space="preserve">state appropriation is provided solely for development of a process to select projects to advance the research, development, or manufacturing of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the development of:</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Electric motors;</w:t>
      </w:r>
    </w:p>
    <w:p>
      <w:pPr>
        <w:spacing w:before="0" w:after="0" w:line="408" w:lineRule="exact"/>
        <w:ind w:left="0" w:right="0" w:firstLine="576"/>
        <w:jc w:val="left"/>
      </w:pPr>
      <w:r>
        <w:rPr/>
        <w:t xml:space="preserve">(iii) Sustainable fuels;</w:t>
      </w:r>
    </w:p>
    <w:p>
      <w:pPr>
        <w:spacing w:before="0" w:after="0" w:line="408" w:lineRule="exact"/>
        <w:ind w:left="0" w:right="0" w:firstLine="576"/>
        <w:jc w:val="left"/>
      </w:pPr>
      <w:r>
        <w:rPr/>
        <w:t xml:space="preserve">(iv) Hydrogen electrolyzers and storage; and</w:t>
      </w:r>
    </w:p>
    <w:p>
      <w:pPr>
        <w:spacing w:before="0" w:after="0" w:line="408" w:lineRule="exact"/>
        <w:ind w:left="0" w:right="0" w:firstLine="576"/>
        <w:jc w:val="left"/>
      </w:pPr>
      <w:r>
        <w:rPr/>
        <w:t xml:space="preserve">(v) Activities that support the supply chain of (a)(i) through (iv) of this subsection.</w:t>
      </w:r>
    </w:p>
    <w:p>
      <w:pPr>
        <w:spacing w:before="0" w:after="0" w:line="408" w:lineRule="exact"/>
        <w:ind w:left="0" w:right="0" w:firstLine="576"/>
        <w:jc w:val="left"/>
      </w:pPr>
      <w:r>
        <w:rPr/>
        <w:t xml:space="preserve">(b) In developing the project selection process, the department may consult industry representatives, members of historically underrepresented and unserved communities, and federally recognized tribes, and may seek additional funds for this purpose. The department shall submit a report to the transportation committees of the legislature by December 1, 2022, identifying the selected sustainable aviation projects for funding by the legislature.</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federal appropriation is provided solely for staff support for the interagency electric vehicle coordinating council created in chapter . . . (Engrossed Substitute Senate Bill No. 5974), Laws of 2022, in order to help implement the national electric vehicle program funded in the federal infrastructure investment and jobs act (P.L. 117-58).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t xml:space="preserve">(2) $1,000,000 of the aeronautics account</w:t>
      </w:r>
      <w:r>
        <w:rPr>
          <w:rFonts w:ascii="Times New Roman" w:hAnsi="Times New Roman"/>
        </w:rPr>
        <w:t xml:space="preserve">—</w:t>
      </w:r>
      <w:r>
        <w:rPr/>
        <w:t xml:space="preserve">state appropriation is provided solely for move ahead WA aviation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$9,822,000</w:t>
      </w:r>
    </w:p>
    <w:p>
      <w:pPr>
        <w:spacing w:before="120" w:after="0" w:line="408" w:lineRule="exact"/>
        <w:ind w:left="0" w:right="0" w:firstLine="576"/>
        <w:jc w:val="left"/>
      </w:pPr>
      <w:r>
        <w:rPr/>
        <w:t xml:space="preserve">The appropriation in this section is subject to the following conditions and limitations: $9,822,000 of the multimodal transportation account</w:t>
      </w:r>
      <w:r>
        <w:rPr>
          <w:rFonts w:ascii="Times New Roman" w:hAnsi="Times New Roman"/>
        </w:rPr>
        <w:t xml:space="preserve">—</w:t>
      </w:r>
      <w:r>
        <w:rPr/>
        <w:t xml:space="preserve">federal appropriation is provided solely to implement the national electric vehicle program, established in the federal infrastructure investment and jobs act (P.L. 117-58), as directed by the interagency electric vehicle coordinating council created in chapter . . . (Engrossed Substitute Senate Bill No. 5974), Laws of 2022.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$1,850,000</w:t>
      </w:r>
    </w:p>
    <w:p>
      <w:pPr>
        <w:spacing w:before="120" w:after="0" w:line="408" w:lineRule="exact"/>
        <w:ind w:left="0" w:right="0" w:firstLine="576"/>
        <w:jc w:val="left"/>
      </w:pPr>
      <w:r>
        <w:rPr/>
        <w:t xml:space="preserve">The appropriation in this section is subject to the following conditions and limitations: $1,850,000 of the move ahead WA</w:t>
      </w:r>
      <w:r>
        <w:rPr>
          <w:rFonts w:ascii="Times New Roman" w:hAnsi="Times New Roman"/>
        </w:rPr>
        <w:t xml:space="preserve">—</w:t>
      </w:r>
      <w:r>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move ahead WA flexible account</w:t>
      </w:r>
      <w:r>
        <w:rPr>
          <w:rFonts w:ascii="Times New Roman" w:hAnsi="Times New Roman"/>
        </w:rPr>
        <w:t xml:space="preserve">—</w:t>
      </w:r>
      <w:r>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t xml:space="preserve">(1) $500,000 of the move ahead WA flexible account</w:t>
      </w:r>
      <w:r>
        <w:rPr>
          <w:rFonts w:ascii="Times New Roman" w:hAnsi="Times New Roman"/>
        </w:rPr>
        <w:t xml:space="preserve">—</w:t>
      </w:r>
      <w:r>
        <w:rPr/>
        <w:t xml:space="preserve">state appropriation is provided solely for: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(b)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t xml:space="preserve">(2) $1,500,000 of the move ahead WA flexible account</w:t>
      </w:r>
      <w:r>
        <w:rPr>
          <w:rFonts w:ascii="Times New Roman" w:hAnsi="Times New Roman"/>
        </w:rPr>
        <w:t xml:space="preserve">—</w:t>
      </w:r>
      <w:r>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Federal Appropriation</w:t>
      </w:r>
      <w:r>
        <w:tab/>
      </w:r>
      <w:r>
        <w:rPr/>
        <w:t xml:space="preserve">$1,000,000</w:t>
      </w:r>
    </w:p>
    <w:p>
      <w:pPr>
        <w:tabs>
          <w:tab w:val="right" w:leader="dot" w:pos="9936"/>
        </w:tabs>
        <w:ind w:left="0" w:right="0" w:firstLine="1440"/>
      </w:pPr>
      <w:r>
        <w:rPr/>
        <w:t xml:space="preserve">TOTAL APPROPRIATION</w:t>
      </w:r>
      <w:r>
        <w:tab/>
      </w:r>
      <w:r>
        <w:rPr/>
        <w:t xml:space="preserve">$2,500,000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move ahead WA flexible account</w:t>
      </w:r>
      <w:r>
        <w:rPr>
          <w:rFonts w:ascii="Times New Roman" w:hAnsi="Times New Roman"/>
        </w:rPr>
        <w:t xml:space="preserve">—</w:t>
      </w:r>
      <w:r>
        <w:rPr/>
        <w:t xml:space="preserve">state appropriation and $1,000,000 of the move ahead WA flexible account</w:t>
      </w:r>
      <w:r>
        <w:rPr>
          <w:rFonts w:ascii="Times New Roman" w:hAnsi="Times New Roman"/>
        </w:rPr>
        <w:t xml:space="preserve">—</w:t>
      </w:r>
      <w:r>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t xml:space="preserve">(2)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t xml:space="preserve">(3)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t xml:space="preserve">(4)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t xml:space="preserve">(5) By December 1, 2022, the department must also submit a recommended approach and funding request to:</w:t>
      </w:r>
    </w:p>
    <w:p>
      <w:pPr>
        <w:spacing w:before="0" w:after="0" w:line="408" w:lineRule="exact"/>
        <w:ind w:left="0" w:right="0" w:firstLine="576"/>
        <w:jc w:val="left"/>
      </w:pPr>
      <w:r>
        <w:rPr/>
        <w:t xml:space="preserve">(a) Assess the seismic risk of the I-5 causeway from Boeing field to Lake City Way; and</w:t>
      </w:r>
    </w:p>
    <w:p>
      <w:pPr>
        <w:spacing w:before="0" w:after="0" w:line="408" w:lineRule="exact"/>
        <w:ind w:left="0" w:right="0" w:firstLine="576"/>
        <w:jc w:val="left"/>
      </w:pPr>
      <w:r>
        <w:rPr/>
        <w:t xml:space="preserve">(b) Recommendations for future work to mitigate seismic risk on the causeway, including estimated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move ahead WA flexible account</w:t>
      </w:r>
      <w:r>
        <w:rPr>
          <w:rFonts w:ascii="Times New Roman" w:hAnsi="Times New Roman"/>
        </w:rPr>
        <w:t xml:space="preserve">—</w:t>
      </w:r>
      <w:r>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$53,436,000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$14,120,000 of the climate transit programs account</w:t>
      </w:r>
      <w:r>
        <w:rPr>
          <w:rFonts w:ascii="Times New Roman" w:hAnsi="Times New Roman"/>
        </w:rPr>
        <w:t xml:space="preserve">—</w:t>
      </w:r>
      <w:r>
        <w:rPr/>
        <w:t xml:space="preserve">state appropriation is provided solely for newly selected special needs grants. Of this amount:</w:t>
      </w:r>
    </w:p>
    <w:p>
      <w:pPr>
        <w:spacing w:before="0" w:after="0" w:line="408" w:lineRule="exact"/>
        <w:ind w:left="0" w:right="0" w:firstLine="576"/>
        <w:jc w:val="left"/>
      </w:pPr>
      <w:r>
        <w:rPr/>
        <w:t xml:space="preserve">(a) $3,248,000 of the climate transit programs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(b) $10,872,000 of the climate transit programs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t xml:space="preserve">(2) $33,606,000 of the climate transit programs account</w:t>
      </w:r>
      <w:r>
        <w:rPr>
          <w:rFonts w:ascii="Times New Roman" w:hAnsi="Times New Roman"/>
        </w:rPr>
        <w:t xml:space="preserve">—</w:t>
      </w:r>
      <w:r>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t xml:space="preserve">(3)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(4)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t xml:space="preserve">(5) It is the intent of the legislature that $520,000 will be provided for the Sauk-Suiattle Commuter Bus Project (L1000318) in the 2023-2025 fiscal biennium.</w:t>
      </w:r>
    </w:p>
    <w:p>
      <w:pPr>
        <w:spacing w:before="0" w:after="0" w:line="408" w:lineRule="exact"/>
        <w:ind w:left="0" w:right="0" w:firstLine="576"/>
        <w:jc w:val="left"/>
      </w:pPr>
      <w:r>
        <w:rPr/>
        <w:t xml:space="preserve">(6) The department shall submit the projects on LEAP Transportation Document 2022 NL-3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$13,000,000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0" w:after="0" w:line="408" w:lineRule="exact"/>
        <w:ind w:left="0" w:right="0" w:firstLine="576"/>
        <w:jc w:val="left"/>
      </w:pPr>
      <w:r>
        <w:rPr/>
        <w:t xml:space="preserve">(2) The entire move ahead WA account</w:t>
      </w:r>
      <w:r>
        <w:rPr>
          <w:rFonts w:ascii="Times New Roman" w:hAnsi="Times New Roman"/>
        </w:rPr>
        <w:t xml:space="preserve">—</w:t>
      </w:r>
      <w:r>
        <w:rPr/>
        <w:t xml:space="preserve">state appropriation is provided solely for additional preservation funding to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entire move ahead WA account</w:t>
      </w:r>
      <w:r>
        <w:rPr>
          <w:rFonts w:ascii="Times New Roman" w:hAnsi="Times New Roman"/>
        </w:rPr>
        <w:t xml:space="preserve">—</w:t>
      </w:r>
      <w:r>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$32,000,000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otherwise provided in this section, the entire move ahead WA account</w:t>
      </w:r>
      <w:r>
        <w:rPr>
          <w:rFonts w:ascii="Times New Roman" w:hAnsi="Times New Roman"/>
        </w:rPr>
        <w:t xml:space="preserve">—</w:t>
      </w:r>
      <w:r>
        <w:rPr/>
        <w:t xml:space="preserve">state appropriation is provided solely for the state highway projects and activities as listed in LEAP Transportation Document 2022 NL-1 as developed March 9, 2022.</w:t>
      </w:r>
    </w:p>
    <w:p>
      <w:pPr>
        <w:spacing w:before="0" w:after="0" w:line="408" w:lineRule="exact"/>
        <w:ind w:left="0" w:right="0" w:firstLine="576"/>
        <w:jc w:val="left"/>
      </w:pPr>
      <w:r>
        <w:rPr/>
        <w:t xml:space="preserve">(2)(a) It is the intent of the legislature, over the 16-year move ahead WA investment program, to provide $2,435,000,000 for fish passage barrier removal with the intent of fully complying with the federal </w:t>
      </w:r>
      <w:r>
        <w:rPr>
          <w:i/>
        </w:rPr>
        <w:t xml:space="preserve">U.S. v. Washington</w:t>
      </w:r>
      <w:r>
        <w:rPr/>
        <w:t xml:space="preserve"> court injunction by 2030. Furthermore,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t xml:space="preserve">(b) The department shall coordinate with the Brian Abbott fish passage barrier removal board and local governments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0" w:after="0" w:line="408" w:lineRule="exact"/>
        <w:ind w:left="0" w:right="0" w:firstLine="576"/>
        <w:jc w:val="left"/>
      </w:pPr>
      <w:r>
        <w:rPr/>
        <w:t xml:space="preserve">(3)(a) $10,000,000 of the move ahead WA state</w:t>
      </w:r>
      <w:r>
        <w:rPr>
          <w:rFonts w:ascii="Times New Roman" w:hAnsi="Times New Roman"/>
        </w:rPr>
        <w:t xml:space="preserve">—</w:t>
      </w:r>
      <w:r>
        <w:rPr/>
        <w:t xml:space="preserve">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t xml:space="preserve">(4) $1,000,000 of the move ahead WA account</w:t>
      </w:r>
      <w:r>
        <w:rPr>
          <w:rFonts w:ascii="Times New Roman" w:hAnsi="Times New Roman"/>
        </w:rPr>
        <w:t xml:space="preserve">—</w:t>
      </w:r>
      <w:r>
        <w:rPr/>
        <w:t xml:space="preserve">state appropriation is provided solely for the SR 522 Widening project (L4000031). The department must consider reserving portions of state route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t xml:space="preserve">(5) $3,000,000 of the move ahead WA</w:t>
      </w:r>
      <w:r>
        <w:rPr>
          <w:rFonts w:ascii="Times New Roman" w:hAnsi="Times New Roman"/>
        </w:rPr>
        <w:t xml:space="preserve">—</w:t>
      </w:r>
      <w:r>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t xml:space="preserve">(6)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(7) $10,000,000 of the move ahead WA account</w:t>
      </w:r>
      <w:r>
        <w:rPr>
          <w:rFonts w:ascii="Times New Roman" w:hAnsi="Times New Roman"/>
        </w:rPr>
        <w:t xml:space="preserve">—</w:t>
      </w:r>
      <w:r>
        <w:rPr/>
        <w:t xml:space="preserve">state appropriation is provided solely for the I-5 Columbia River Bridge (L4000054).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$140,000,000</w:t>
      </w:r>
    </w:p>
    <w:p>
      <w:pPr>
        <w:spacing w:before="120" w:after="0" w:line="408" w:lineRule="exact"/>
        <w:ind w:left="0" w:right="0" w:firstLine="576"/>
        <w:jc w:val="left"/>
      </w:pPr>
      <w:r>
        <w:rPr/>
        <w:t xml:space="preserve">The appropriation in this section is subject to the following conditions and limitations: $140,000,000 of the move ahead WA account</w:t>
      </w:r>
      <w:r>
        <w:rPr>
          <w:rFonts w:ascii="Times New Roman" w:hAnsi="Times New Roman"/>
        </w:rPr>
        <w:t xml:space="preserve">—</w:t>
      </w:r>
      <w:r>
        <w:rPr/>
        <w:t xml:space="preserve">federal appropriation is provided solely for highway preservation (L4000057). The department must use funding provided in this subsection, along with other funds at its discretion, for the following preservation projects:</w:t>
      </w:r>
    </w:p>
    <w:p>
      <w:pPr>
        <w:spacing w:before="0" w:after="0" w:line="408" w:lineRule="exact"/>
        <w:ind w:left="0" w:right="0" w:firstLine="576"/>
        <w:jc w:val="left"/>
      </w:pPr>
      <w:r>
        <w:rPr/>
        <w:t xml:space="preserve">(1) I-5/SB Denny Way-Lakeview Viaduct;</w:t>
      </w:r>
    </w:p>
    <w:p>
      <w:pPr>
        <w:spacing w:before="0" w:after="0" w:line="408" w:lineRule="exact"/>
        <w:ind w:left="0" w:right="0" w:firstLine="576"/>
        <w:jc w:val="left"/>
      </w:pPr>
      <w:r>
        <w:rPr/>
        <w:t xml:space="preserve">(2) I-5/SB&amp;NB Concrete and Joint Replacement;</w:t>
      </w:r>
    </w:p>
    <w:p>
      <w:pPr>
        <w:spacing w:before="0" w:after="0" w:line="408" w:lineRule="exact"/>
        <w:ind w:left="0" w:right="0" w:firstLine="576"/>
        <w:jc w:val="left"/>
      </w:pPr>
      <w:r>
        <w:rPr/>
        <w:t xml:space="preserve">(3) SR 529/NB Snohomish River – Bridge Rehabilitation and Painting;</w:t>
      </w:r>
    </w:p>
    <w:p>
      <w:pPr>
        <w:spacing w:before="0" w:after="0" w:line="408" w:lineRule="exact"/>
        <w:ind w:left="0" w:right="0" w:firstLine="576"/>
        <w:jc w:val="left"/>
      </w:pPr>
      <w:r>
        <w:rPr/>
        <w:t xml:space="preserve">(4) I-5/SB Snohomish River Bridge Painting.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$1,250,000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$1,250,000 of the move ahead WA account—state appropriation is provided solely for the department to establish a reducing rural roadway departures program (L2021122) to provide funding for safety improvements specific to preventing lane departures in areas where the departure is likely to cause serious injuries or death pursuant to section 433 of chapter . . . (Substitute Senate Bill No. 5974), Laws of 2022 (transportation resources).</w:t>
      </w:r>
    </w:p>
    <w:p>
      <w:pPr>
        <w:spacing w:before="0" w:after="0" w:line="408" w:lineRule="exact"/>
        <w:ind w:left="0" w:right="0" w:firstLine="576"/>
        <w:jc w:val="left"/>
      </w:pPr>
      <w:r>
        <w:rPr/>
        <w:t xml:space="preserve">(2) It is the intent of the legislature, over the 16-year move ahead WA investment program, to provide $20,000,000 for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$10,000,000 of the Puget Sound capital construction account—state appropriation is provided solely for vessel and terminal preservation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March 9,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for a new ultra high-speed ground transportation corridor. These funds are to remain in unallotted status and are available only upon award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$131,900,000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$20,182,000</w:t>
      </w:r>
    </w:p>
    <w:p>
      <w:pPr>
        <w:tabs>
          <w:tab w:val="right" w:leader="dot" w:pos="9936"/>
        </w:tabs>
        <w:ind w:left="0" w:right="0" w:firstLine="1440"/>
      </w:pPr>
      <w:r>
        <w:rPr/>
        <w:t xml:space="preserve">TOTAL APPROPRIATION</w:t>
      </w:r>
      <w:r>
        <w:tab/>
      </w:r>
      <w:r>
        <w:rPr/>
        <w:t xml:space="preserve">$157,082,000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local road projects and activities as listed in LEAP Transportation Document 2022 NL-1 as developed March 9, 2022.</w:t>
      </w:r>
    </w:p>
    <w:p>
      <w:pPr>
        <w:spacing w:before="0" w:after="0" w:line="408" w:lineRule="exact"/>
        <w:ind w:left="0" w:right="0" w:firstLine="576"/>
        <w:jc w:val="left"/>
      </w:pPr>
      <w:r>
        <w:rPr/>
        <w:t xml:space="preserve">(2) The department shall submit the projects on LEAP Transportation Document 2022 NL-2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0" w:after="0" w:line="408" w:lineRule="exact"/>
        <w:ind w:left="0" w:right="0" w:firstLine="576"/>
        <w:jc w:val="left"/>
      </w:pPr>
      <w:r>
        <w:rPr/>
        <w:t xml:space="preserve">(3) $10,686,000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$9,496,000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0" w:after="0" w:line="408" w:lineRule="exact"/>
        <w:ind w:left="0" w:right="0" w:firstLine="576"/>
        <w:jc w:val="left"/>
      </w:pPr>
      <w:r>
        <w:rPr/>
        <w:t xml:space="preserve">(5) It is the intent of the legislature that up to $14,000,000 will be provided for the Guemes Ferry Boat Replacement Project (L4000124).</w:t>
      </w:r>
    </w:p>
    <w:p>
      <w:pPr>
        <w:spacing w:before="0" w:after="0" w:line="408" w:lineRule="exact"/>
        <w:ind w:left="0" w:right="0" w:firstLine="576"/>
        <w:jc w:val="left"/>
      </w:pPr>
      <w:r>
        <w:rPr/>
        <w:t xml:space="preserve">(6) $5,000,000 of the move ahead WA flexible account</w:t>
      </w:r>
      <w:r>
        <w:rPr>
          <w:rFonts w:ascii="Times New Roman" w:hAnsi="Times New Roman"/>
        </w:rPr>
        <w:t xml:space="preserve">—</w:t>
      </w:r>
      <w:r>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t xml:space="preserve">(7)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t xml:space="preserve">(8)(a)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t xml:space="preserve">(c) The legislature intends that all Aurora Avenue North Safety Improvement projects funded in this program be completed by December 31, 2029, and that no funds may be expended for this purpose after this date.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(1) Carbon Emissions Reduction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subsection represents an estimate of fare replacement revenue to account for the implementation of 18 and under fare-free policies.</w:t>
      </w:r>
    </w:p>
    <w:p>
      <w:pPr>
        <w:spacing w:before="0" w:after="0" w:line="408" w:lineRule="exact"/>
        <w:ind w:left="0" w:right="0" w:firstLine="0"/>
        <w:jc w:val="left"/>
        <w:tabs>
          <w:tab w:val="right" w:leader="dot" w:pos="9936"/>
        </w:tabs>
      </w:pPr>
      <w:pPr>
        <w:tabs>
          <w:tab w:val="right" w:leader="dot" w:pos="9360"/>
        </w:tabs>
      </w:pPr>
      <w:r>
        <w:rPr/>
        <w:t xml:space="preserve">(2)(a) 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Carbon Emissions Reduction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$127,000,000</w:t>
      </w:r>
    </w:p>
    <w:p>
      <w:pPr>
        <w:spacing w:before="120" w:after="0" w:line="408" w:lineRule="exact"/>
        <w:ind w:left="0" w:right="0" w:firstLine="576"/>
        <w:jc w:val="left"/>
      </w:pPr>
      <w:r>
        <w:rPr/>
        <w:t xml:space="preserve">(b) It is the intent of the legislature that this transfer is temporary, for the purpose of ensuring a positive account balance for the remainder of the 2021-2023 fiscal biennium. An equivalent reimbursing transfer is to occur in the 2023-2025 fiscal biennium.</w:t>
      </w:r>
    </w:p>
    <w:p>
      <w:pPr>
        <w:spacing w:before="0" w:after="0" w:line="408" w:lineRule="exact"/>
        <w:ind w:left="0" w:right="0" w:firstLine="0"/>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transfer to the Move Ahead WA Account</w:t>
      </w:r>
      <w:r>
        <w:rPr>
          <w:rFonts w:ascii="Times New Roman" w:hAnsi="Times New Roman"/>
        </w:rPr>
        <w:t xml:space="preserve">—</w:t>
      </w:r>
      <w:r>
        <w:rPr/>
        <w:t xml:space="preserve">State</w:t>
      </w:r>
      <w:r>
        <w:tab/>
      </w:r>
      <w:r>
        <w:rPr/>
        <w:t xml:space="preserve">$3,607,000</w:t>
      </w:r>
    </w:p>
    <w:p>
      <w:pPr>
        <w:spacing w:before="0" w:after="0" w:line="408" w:lineRule="exact"/>
        <w:ind w:left="0" w:right="0" w:firstLine="0"/>
        <w:jc w:val="left"/>
        <w:tabs>
          <w:tab w:val="right" w:leader="dot" w:pos="9936"/>
        </w:tabs>
      </w:pPr>
      <w:pPr>
        <w:tabs>
          <w:tab w:val="right" w:leader="dot" w:pos="9360"/>
        </w:tabs>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Move Ahead WA Flexible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w:t>
      </w:r>
      <w:r>
        <w:tab/>
      </w:r>
      <w:r>
        <w:rPr/>
        <w:t xml:space="preserve">$16,064,000</w:t>
      </w:r>
    </w:p>
    <w:p>
      <w:pPr>
        <w:spacing w:before="0" w:after="0" w:line="408" w:lineRule="exact"/>
        <w:ind w:left="0" w:right="0" w:firstLine="0"/>
        <w:jc w:val="left"/>
        <w:tabs>
          <w:tab w:val="right" w:leader="dot" w:pos="9936"/>
        </w:tabs>
      </w:pPr>
      <w:pPr>
        <w:tabs>
          <w:tab w:val="right" w:leader="dot" w:pos="9360"/>
        </w:tabs>
      </w:pPr>
      <w:r>
        <w:rPr/>
        <w:t xml:space="preserve">(5) 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transfer to the Climate</w:t>
      </w:r>
    </w:p>
    <w:p>
      <w:pPr>
        <w:spacing w:before="0" w:after="0" w:line="408" w:lineRule="exact"/>
        <w:ind w:left="0" w:right="0" w:firstLine="576"/>
        <w:jc w:val="left"/>
        <w:tabs>
          <w:tab w:val="right" w:leader="dot" w:pos="9936"/>
        </w:tabs>
      </w:pPr>
      <w:r>
        <w:rPr/>
        <w:t xml:space="preserve">Active Transportation Account</w:t>
      </w:r>
      <w:r>
        <w:rPr>
          <w:rFonts w:ascii="Times New Roman" w:hAnsi="Times New Roman"/>
        </w:rPr>
        <w:t xml:space="preserve">—</w:t>
      </w:r>
      <w:r>
        <w:rPr/>
        <w:t xml:space="preserve">State</w:t>
      </w:r>
      <w:r>
        <w:tab/>
      </w:r>
      <w:r>
        <w:rPr/>
        <w:t xml:space="preserve">$23,182,000</w:t>
      </w:r>
    </w:p>
    <w:p>
      <w:pPr>
        <w:spacing w:before="0" w:after="0" w:line="408" w:lineRule="exact"/>
        <w:ind w:left="0" w:right="0" w:firstLine="0"/>
        <w:jc w:val="left"/>
        <w:tabs>
          <w:tab w:val="right" w:leader="dot" w:pos="9936"/>
        </w:tabs>
      </w:pPr>
      <w:pPr>
        <w:tabs>
          <w:tab w:val="right" w:leader="dot" w:pos="9360"/>
        </w:tabs>
      </w:pPr>
      <w:r>
        <w:rPr/>
        <w:t xml:space="preserve">(6) 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transfer to the Climate</w:t>
      </w:r>
    </w:p>
    <w:p>
      <w:pPr>
        <w:spacing w:before="0" w:after="0" w:line="408" w:lineRule="exact"/>
        <w:ind w:left="0" w:right="0" w:firstLine="576"/>
        <w:jc w:val="left"/>
        <w:tabs>
          <w:tab w:val="right" w:leader="dot" w:pos="9936"/>
        </w:tabs>
      </w:pPr>
      <w:r>
        <w:rPr/>
        <w:t xml:space="preserve">Transit Programs Account</w:t>
      </w:r>
      <w:r>
        <w:rPr>
          <w:rFonts w:ascii="Times New Roman" w:hAnsi="Times New Roman"/>
        </w:rPr>
        <w:t xml:space="preserve">—</w:t>
      </w:r>
      <w:r>
        <w:rPr/>
        <w:t xml:space="preserve">State</w:t>
      </w:r>
      <w:r>
        <w:tab/>
      </w:r>
      <w:r>
        <w:rPr/>
        <w:t xml:space="preserve">$53,436,000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2021 c 300 s 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w:t>
      </w:r>
      <w:r>
        <w:rPr>
          <w:u w:val="single"/>
        </w:rPr>
        <w:t xml:space="preserve">During the 2021-2023 fiscal biennium, the legislature may direct the state treasurer to make transfers of moneys in the electric vehicle account to the move ahead WA flexible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2198804dcf940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4fbf25c9814445" /><Relationship Type="http://schemas.openxmlformats.org/officeDocument/2006/relationships/footer" Target="/word/footer1.xml" Id="R72198804dcf94083" /></Relationships>
</file>