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53bfd833740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1090</w:t>
      </w:r>
    </w:p>
    <w:p>
      <w:pPr>
        <w:jc w:val="center"/>
        <w:spacing w:before="480" w:after="0" w:line="240"/>
      </w:pPr>
      <w:r>
        <w:t xml:space="preserve">Chapter </w:t>
      </w:r>
      <w:r>
        <w:rPr/>
        <w:t xml:space="preserve">30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PRIVATE, FOR-PROFIT DETENTION FACILITIES</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23, 2021</w:t>
            </w:r>
          </w:p>
          <w:p>
            <w:pPr>
              <w:ind w:left="0" w:right="0" w:firstLine="360"/>
            </w:pPr>
            <w:r>
              <w:t xml:space="preserve">Yeas </w:t>
              <w:t xml:space="preserve">76</w:t>
            </w:r>
            <w:r>
              <w:t xml:space="preserve">  Nays </w:t>
              <w:t xml:space="preserve">21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1090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Ortiz-Self, Fey, Fitzgibbon, J. Johnson, Ramos, Tharinger, Simmons, Ramel, Senn, Peterson, Gregerson, Ryu, Valdez, Callan, Kloba, Young, Hackney, Chopp, Lovick, Ormsby, Stonier, Frame, Santos, Macri, Orwall, Davis, Pollet, and Harris-Talley</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for-profit detention facilities;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for-profit entity and operating pursuant to a contract or agreement with a federal, state, or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 within the state. No state or local governmental entity shall utilize a contract with a private detention facility outside of Washington state, except as provided in RCW 72.68.010(2).</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2021,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Title 13 RCW, or similarly applicable federal law;</w:t>
      </w:r>
    </w:p>
    <w:p>
      <w:pPr>
        <w:spacing w:before="0" w:after="0" w:line="408" w:lineRule="exact"/>
        <w:ind w:left="0" w:right="0" w:firstLine="576"/>
        <w:jc w:val="left"/>
      </w:pPr>
      <w:r>
        <w:rPr/>
        <w:t xml:space="preserve">(b) A facility providing evaluation and treatment or forensic services to a person who has been civilly detained or is subject to an order of commitment by a court pursuant to chapter 10.77, 71.05, 71.09, or 71.34 RCW, or similarly applicable federal law;</w:t>
      </w:r>
    </w:p>
    <w:p>
      <w:pPr>
        <w:spacing w:before="0" w:after="0" w:line="408" w:lineRule="exact"/>
        <w:ind w:left="0" w:right="0" w:firstLine="576"/>
        <w:jc w:val="left"/>
      </w:pPr>
      <w:r>
        <w:rPr/>
        <w:t xml:space="preserve">(c) A facility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(d) A facility used for work release under chapter 72.65 RCW, or similarly applicable federal law;</w:t>
      </w:r>
    </w:p>
    <w:p>
      <w:pPr>
        <w:spacing w:before="0" w:after="0" w:line="408" w:lineRule="exact"/>
        <w:ind w:left="0" w:right="0" w:firstLine="576"/>
        <w:jc w:val="left"/>
      </w:pPr>
      <w:r>
        <w:rPr/>
        <w:t xml:space="preserve">(e) A facility used for extraordinary medical placement;</w:t>
      </w:r>
    </w:p>
    <w:p>
      <w:pPr>
        <w:spacing w:before="0" w:after="0" w:line="408" w:lineRule="exact"/>
        <w:ind w:left="0" w:right="0" w:firstLine="576"/>
        <w:jc w:val="left"/>
      </w:pPr>
      <w:r>
        <w:rPr/>
        <w:t xml:space="preserve">(f) A facility used for residential substance use disorder treatment;</w:t>
      </w:r>
    </w:p>
    <w:p>
      <w:pPr>
        <w:spacing w:before="0" w:after="0" w:line="408" w:lineRule="exact"/>
        <w:ind w:left="0" w:right="0" w:firstLine="576"/>
        <w:jc w:val="left"/>
      </w:pPr>
      <w:r>
        <w:rPr/>
        <w:t xml:space="preserve">(g) A facility used to house persons pursuant to 18 U.S.C. Sec. 4013; or</w:t>
      </w:r>
    </w:p>
    <w:p>
      <w:pPr>
        <w:spacing w:before="0" w:after="0" w:line="408" w:lineRule="exact"/>
        <w:ind w:left="0" w:right="0" w:firstLine="576"/>
        <w:jc w:val="left"/>
      </w:pPr>
      <w:r>
        <w:rPr/>
        <w:t xml:space="preserve">(h) A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23,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1cc4592ca56c48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ff2159c2d34c26" /><Relationship Type="http://schemas.openxmlformats.org/officeDocument/2006/relationships/footer" Target="/word/footer1.xml" Id="R1cc4592ca56c48f3" /></Relationships>
</file>