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c4bdaf1f9b47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1223</w:t>
      </w:r>
    </w:p>
    <w:p>
      <w:pPr>
        <w:jc w:val="center"/>
        <w:spacing w:before="480" w:after="0" w:line="240"/>
      </w:pPr>
      <w:r>
        <w:t xml:space="preserve">Chapter </w:t>
      </w:r>
      <w:r>
        <w:rPr/>
        <w:t xml:space="preserve">329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UNIFORM ELECTRONIC RECORDATION OF CUSTODIAL INTERROGATIONS ACT</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1 through 20, which take effect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18, 2021 11:54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Peterson, Simmons, Bateman, Sells, Davis, Lovick, Orwall, Ryu, Ortiz-Self, Senn, Dolan, Fitzgibbon, Ormsby, Gregerson, Hackney, Valdez, Macri, and Frame; by request of Uniform Law Commission)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electronic recordation of custodial interrogations act; reenacting and amending RCW 9.73.030; adding a new chapter to Title 10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general authority Washington law enforcement agency or limited authority Washington law enforcement agency as those terms are defined in RCW 10.93.020.</w:t>
      </w:r>
    </w:p>
    <w:p>
      <w:pPr>
        <w:spacing w:before="0" w:after="0" w:line="408" w:lineRule="exact"/>
        <w:ind w:left="0" w:right="0" w:firstLine="576"/>
        <w:jc w:val="left"/>
      </w:pPr>
      <w:r>
        <w:rPr/>
        <w:t xml:space="preserve">(4) "Law enforcement officer" means a general authority Washington peace officer or limited authority Washington peace officer as those terms are defined in RCW 10.93.020.</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jail, police or sheriff's station, holding cell, or correctional or detention facility must be recorded by audio and video means. A custodial interrogation at any other place of detention must be recorded by audio means at minimum.</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or electronic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shall afford the defendant the opportunity to present to the jury the fact that the statement was not recorded electronically in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POLICIES AND PROCEDURES RELATING TO ELECTRONIC RECORDING.</w:t>
      </w:r>
      <w:r>
        <w:t xml:space="preserve">  </w:t>
      </w:r>
      <w:r>
        <w:rPr/>
        <w:t xml:space="preserve">(1) Each law enforcement agency that is a governmental entity of this state shall adopt and enforce policies and procedures to implement this chapter.</w:t>
      </w:r>
    </w:p>
    <w:p>
      <w:pPr>
        <w:spacing w:before="0" w:after="0" w:line="408" w:lineRule="exact"/>
        <w:ind w:left="0" w:right="0" w:firstLine="576"/>
        <w:jc w:val="left"/>
      </w:pPr>
      <w:r>
        <w:rPr/>
        <w:t xml:space="preserve">(2) The policies and procedures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preserving the chain of custody of an electronic recording.</w:t>
      </w:r>
    </w:p>
    <w:p>
      <w:pPr>
        <w:spacing w:before="0" w:after="0" w:line="408" w:lineRule="exact"/>
        <w:ind w:left="0" w:right="0" w:firstLine="576"/>
        <w:jc w:val="left"/>
      </w:pPr>
      <w:r>
        <w:rPr/>
        <w:t xml:space="preserve">(3) The policies and procedures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18, 2021.</w:t>
      </w:r>
    </w:p>
    <w:p>
      <w:pPr>
        <w:spacing w:before="0" w:after="0" w:line="408" w:lineRule="exact"/>
        <w:ind w:left="0" w:right="0" w:firstLine="576"/>
        <w:jc w:val="left"/>
      </w:pPr>
      <w:r>
        <w:rPr/>
        <w:t xml:space="preserve">Filed in Office of Secretary of State May 18, 2021.</w:t>
      </w:r>
    </w:p>
    <w:sectPr>
      <w:pgNumType w:start="1"/>
      <w:footerReference xmlns:r="http://schemas.openxmlformats.org/officeDocument/2006/relationships" r:id="R5b4a299b753849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314c6284f422e" /><Relationship Type="http://schemas.openxmlformats.org/officeDocument/2006/relationships/footer" Target="/word/footer1.xml" Id="R5b4a299b753849ea" /></Relationships>
</file>