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507eacd5843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1236</w:t>
      </w:r>
    </w:p>
    <w:p>
      <w:pPr>
        <w:jc w:val="center"/>
        <w:spacing w:before="480" w:after="0" w:line="240"/>
      </w:pPr>
      <w:r>
        <w:t xml:space="preserve">Chapter </w:t>
      </w:r>
      <w:r>
        <w:rPr/>
        <w:t xml:space="preserve">212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RESIDENTIAL TENANCIES—VARIOUS PROVISIONS</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54</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Macri, Taylor, Dolan, Gregerson, Berry, Fitzgibbon, Frame, Simmons, Ramel, Bateman, J. Johnson, Hackney, Chopp, Thai, Peterson, Santos, Orwall, Ortiz-Self, Ryu, Wicks, Lekanoff, Slatter, Berg, Senn, Harris-Talley, Ormsby,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residential tenants from the beginning to end of their tenancies by penalizing the inclusion of unlawful lease provisions and limiting the reasons for eviction, refusal to continue, and termination; amending RCW 59.18.220 and 59.12.030; reenacting and amending RCW 59.18.030, 59.18.200, and 59.18.230;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w:t>
      </w:r>
      <w:r>
        <w:rPr>
          <w:u w:val="single"/>
        </w:rPr>
        <w:t xml:space="preserve">or "lease"</w:t>
      </w:r>
      <w:r>
        <w:rPr/>
        <w:t xml:space="preserv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in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 </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the effective date of this section, if the landlord and tenant enter into a rental agreement between the effective date of this section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w:t>
      </w:r>
      <w:r>
        <w:t>((</w:t>
      </w:r>
      <w:r>
        <w:rPr>
          <w:strike/>
        </w:rPr>
        <w:t xml:space="preserve">be terminated</w:t>
      </w:r>
      <w:r>
        <w:t>))</w:t>
      </w:r>
      <w:r>
        <w:rPr/>
        <w:t xml:space="preserve"> </w:t>
      </w:r>
      <w:r>
        <w:rPr>
          <w:u w:val="single"/>
        </w:rPr>
        <w:t xml:space="preserve">end</w:t>
      </w:r>
      <w:r>
        <w:rPr/>
        <w:t xml:space="preserve">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w:t>
      </w:r>
      <w:r>
        <w:t>((</w:t>
      </w:r>
      <w:r>
        <w:rPr>
          <w:strike/>
        </w:rPr>
        <w:t xml:space="preserve">termination of</w:t>
      </w:r>
      <w:r>
        <w:t>))</w:t>
      </w:r>
      <w:r>
        <w:rPr/>
        <w:t xml:space="preserve"> the tenancy </w:t>
      </w:r>
      <w:r>
        <w:rPr>
          <w:u w:val="single"/>
        </w:rPr>
        <w:t xml:space="preserve">ends</w:t>
      </w:r>
      <w:r>
        <w:rPr/>
        <w:t xml:space="preserve">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t>((</w:t>
      </w:r>
      <w:r>
        <w:rPr>
          <w:strike/>
        </w:rPr>
        <w:t xml:space="preserve">(3) A person in violation of subsection (2)(c)(i) of this section may be held liable in a civil action up to three times the monthly rent of the real property at issue. The prevailing party may also recover court costs and reasonable attorneys' fees.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under section 2 of this act, in</w:t>
      </w:r>
      <w:r>
        <w:rPr/>
        <w:t xml:space="preserve"> cases where premises are rented for a specified time, by express or implied contract, the tenancy shall be deemed </w:t>
      </w:r>
      <w:r>
        <w:t>((</w:t>
      </w:r>
      <w:r>
        <w:rPr>
          <w:strike/>
        </w:rPr>
        <w:t xml:space="preserve">terminated</w:t>
      </w:r>
      <w:r>
        <w:t>))</w:t>
      </w:r>
      <w:r>
        <w:rPr/>
        <w:t xml:space="preserve"> </w:t>
      </w:r>
      <w:r>
        <w:rPr>
          <w:u w:val="single"/>
        </w:rPr>
        <w:t xml:space="preserve">expired</w:t>
      </w:r>
      <w:r>
        <w:rPr/>
        <w:t xml:space="preserve">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tenancy for a specified time if the tenant receives permanent change of station or deployment orders. Before </w:t>
      </w:r>
      <w:r>
        <w:t>((</w:t>
      </w:r>
      <w:r>
        <w:rPr>
          <w:strike/>
        </w:rPr>
        <w:t xml:space="preserve">terminating</w:t>
      </w:r>
      <w:r>
        <w:t>))</w:t>
      </w:r>
      <w:r>
        <w:rPr/>
        <w:t xml:space="preserve"> </w:t>
      </w:r>
      <w:r>
        <w:rPr>
          <w:u w:val="single"/>
        </w:rPr>
        <w:t xml:space="preserve">ending</w:t>
      </w:r>
      <w:r>
        <w:rPr/>
        <w:t xml:space="preserve">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under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w:t>
      </w:r>
      <w:r>
        <w:t>((</w:t>
      </w:r>
      <w:r>
        <w:rPr>
          <w:strike/>
        </w:rPr>
        <w:t xml:space="preserve">be terminated</w:t>
      </w:r>
      <w:r>
        <w:t>))</w:t>
      </w:r>
      <w:r>
        <w:rPr/>
        <w:t xml:space="preserve"> </w:t>
      </w:r>
      <w:r>
        <w:rPr>
          <w:u w:val="single"/>
        </w:rPr>
        <w:t xml:space="preserve">end</w:t>
      </w:r>
      <w:r>
        <w:rPr/>
        <w:t xml:space="preserve">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0feb27cb8bd84f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405ecc6fc4adf" /><Relationship Type="http://schemas.openxmlformats.org/officeDocument/2006/relationships/footer" Target="/word/footer1.xml" Id="R0feb27cb8bd84faf" /></Relationships>
</file>