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d275ee62c45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1314</w:t>
      </w:r>
    </w:p>
    <w:p>
      <w:pPr>
        <w:jc w:val="center"/>
        <w:spacing w:before="480" w:after="0" w:line="240"/>
      </w:pPr>
      <w:r>
        <w:t xml:space="preserve">Chapter </w:t>
      </w:r>
      <w:r>
        <w:rPr/>
        <w:t xml:space="preserve">125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VETERANS—BEHAVIORAL HEALTH—INVOLUNTARY COMMITMENT DIVERSION</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 2, which becomes effective July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1314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Young, Lovick, Dufault, Hackney, Bateman, Rule, Lekanoff, Pollet, and Callan)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diversion from involuntary commitment; reenacting and amending RCW 71.05.153 and 71.05.153;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2020 c 302 s 16 and 2020 c 5 s 4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secure withdrawal management and stabilization facility if available with adequate space for the person, or approved substance use disorder treatment program if available with adequate space for the person, for not more than one hundred twenty hours as described in RCW 71.05.180.</w:t>
      </w:r>
    </w:p>
    <w:p>
      <w:pPr>
        <w:spacing w:before="0" w:after="0" w:line="408" w:lineRule="exact"/>
        <w:ind w:left="0" w:right="0" w:firstLine="576"/>
        <w:jc w:val="left"/>
      </w:pPr>
      <w:r>
        <w:rPr/>
        <w:t xml:space="preserve">(2)(a)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of this section; or</w:t>
      </w:r>
    </w:p>
    <w:p>
      <w:pPr>
        <w:spacing w:before="0" w:after="0" w:line="408" w:lineRule="exact"/>
        <w:ind w:left="0" w:right="0" w:firstLine="576"/>
        <w:jc w:val="left"/>
      </w:pPr>
      <w:r>
        <w:rPr/>
        <w:t xml:space="preserve">(ii) When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w:t>
      </w:r>
      <w:r>
        <w:rPr>
          <w:u w:val="single"/>
        </w:rPr>
        <w:t xml:space="preserve">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2020 c 302 s 17 and 2020 c 5 s 5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secure withdrawal management and stabilization facility, or approved substance use disorder treatment program, for not more than one hundred twenty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w:t>
      </w:r>
      <w:r>
        <w:rPr>
          <w:u w:val="single"/>
        </w:rPr>
        <w:t xml:space="preserve">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c08c5de61a8f445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7e10f425a74a74" /><Relationship Type="http://schemas.openxmlformats.org/officeDocument/2006/relationships/footer" Target="/word/footer1.xml" Id="Rc08c5de61a8f445c" /></Relationships>
</file>