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58fe8c5c0642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1382</w:t>
      </w:r>
    </w:p>
    <w:p>
      <w:pPr>
        <w:jc w:val="center"/>
        <w:spacing w:before="480" w:after="0" w:line="240"/>
      </w:pPr>
      <w:r>
        <w:t xml:space="preserve">Chapter </w:t>
      </w:r>
      <w:r>
        <w:rPr/>
        <w:t xml:space="preserve">75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HABITAT RESTORATION PROJECTS—ENVIRONMENTAL PERMITTING—PILOT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2, 2021</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1382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1382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Tharinger, Dolan, Fitzgibbon, Wylie, Hackney, and Callan)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environmental permitting process for salmon recovery projects; adding a new section to chapter 77.55 RCW; adding a new section go chapter 43.21C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particularly in times of economic hardship, it is in the interest of the citizens and natural resources of the state to promote and implement habitat restoration projects that have been determined to contribute to the recovery of watersheds throughout the state. The legislature further finds that habitat recovery projects that contribute to the recovery of orca, salmon, steelhead, bull trout, rock fish, and other fish species and habitat they rely on are particularly valuable. It is the legislature's intent that these projects advance to construction as quickly and efficiently as possible, thereby creating jobs and further bolstering the natural resources and natural resource economy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 federally recognized tribe; and</w:t>
      </w:r>
    </w:p>
    <w:p>
      <w:pPr>
        <w:spacing w:before="0" w:after="0" w:line="408" w:lineRule="exact"/>
        <w:ind w:left="0" w:right="0" w:firstLine="576"/>
        <w:jc w:val="left"/>
      </w:pPr>
      <w:r>
        <w:rPr/>
        <w:t xml:space="preserve">(xiii) Fish acclimation facility projects sponsored or operated by a federally recognized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before the project applicant files an application under this section.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 and to affected federally recognized tribes, no fewer than 60 days before the application may be filed with the department.</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federally recognized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federally recognized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federally recognized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federally recognized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federally recognized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federally recognized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federally recognized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federally recognized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that receives a permit pursuant to section 2 of this act is not subject to the requirements of RCW 43.21C.030(2).</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979ee6e4365d42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63b8f12a5c4911" /><Relationship Type="http://schemas.openxmlformats.org/officeDocument/2006/relationships/footer" Target="/word/footer1.xml" Id="R979ee6e4365d42ce" /></Relationships>
</file>