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4625e4c48743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1643</w:t>
      </w:r>
    </w:p>
    <w:p>
      <w:pPr>
        <w:jc w:val="center"/>
        <w:spacing w:before="480" w:after="0" w:line="240"/>
      </w:pPr>
      <w:r>
        <w:t xml:space="preserve">Chapter </w:t>
      </w:r>
      <w:r>
        <w:rPr/>
        <w:t xml:space="preserve">199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REAL ESTATE EXCISE TAX—TRANSFERS FOR AFFORDABLE HOUSING</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3, which takes effect January 1, 2023; and section 4, which takes effect January 1, 2030.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Finance (originally sponsored by Representatives Hackney, Stokesbary, Bateman, Ryu, Simmons, Leavitt, Robertson, Walen, Valdez, Paul, Callan, Gilday, Macri, Peterson, Ramos, Chopp, Bergquist, and Kloba)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sale or transfer of real property for affordable housing to a nonprofit entity, housing authority, public corporation, county, or municipal corporation from the real estate excise tax; amending RCW 82.45.010; reenacting and amending RCW 82.45.010;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29 affordable and available rental homes for every 100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public housing authorities, or local governments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Laws of 2022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w:t>
      </w:r>
      <w:r>
        <w:rPr>
          <w:u w:val="single"/>
        </w:rPr>
        <w:t xml:space="preserve">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u w:val="single"/>
        </w:rPr>
        <w:t xml:space="preserve">(v) For the purposes of this subsection (3)(v), "low-income" has the same meaning as in (u)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w:t>
      </w:r>
      <w:r>
        <w:rPr>
          <w:u w:val="single"/>
        </w:rPr>
        <w:t xml:space="preserve">,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u w:val="single"/>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2022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1f7d337cf903456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72bf47cca54c5f" /><Relationship Type="http://schemas.openxmlformats.org/officeDocument/2006/relationships/footer" Target="/word/footer1.xml" Id="R1f7d337cf9034561" /></Relationships>
</file>