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bacb9462144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1694</w:t>
      </w:r>
    </w:p>
    <w:p>
      <w:pPr>
        <w:jc w:val="center"/>
        <w:spacing w:before="480" w:after="0" w:line="240"/>
      </w:pPr>
      <w:r>
        <w:t xml:space="preserve">Chapter </w:t>
      </w:r>
      <w:r>
        <w:rPr/>
        <w:t xml:space="preserve">264</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PRIORITY CHEMICALS IN CONSUMER PRODUCTS—PFAS CHEMICALS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83</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4:31 PM with the exception of sections 4 and 5,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Berry, Fitzgibbon, Ramel, Bateman, Duerr, Callan, Macri, Harris-Talley, Hackney,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logistical processes for the regulation of priority chemicals in consumer products; amending RCW 70A.350.050, 70A.350.030, 70A.350.020, and 70A.350.040; and adding a new section to chapter 70A.350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For purposes of the regulatory process established in this chapter, the department may consider any product identified in the department's final PFAS chemical action plan dated November 2021 as a source of or use of PFAS chemicals to be a priority consumer product under this chapter. No additional action, including publication in the Washington State Register, is required for the department to designate such a product as a priority consumer product for purposes of this chapter. For such products, the department may, under the process established in RCW 70A.350.040, determine regulatory actions and adopt rules to implement those regulatory determinations.</w:t>
      </w:r>
    </w:p>
    <w:p>
      <w:pPr>
        <w:spacing w:before="0" w:after="0" w:line="408" w:lineRule="exact"/>
        <w:ind w:left="0" w:right="0" w:firstLine="576"/>
        <w:jc w:val="left"/>
      </w:pPr>
      <w:r>
        <w:rPr/>
        <w:t xml:space="preserve">(2) Firefighting personal protective equipment, as defined in RCW 70A.400.005, is established as a priority consumer product for PFAS chemicals.</w:t>
      </w:r>
    </w:p>
    <w:p>
      <w:pPr>
        <w:spacing w:before="0" w:after="0" w:line="408" w:lineRule="exact"/>
        <w:ind w:left="0" w:right="0" w:firstLine="576"/>
        <w:jc w:val="left"/>
      </w:pPr>
      <w:r>
        <w:rPr/>
        <w:t xml:space="preserve">(3) For the products identified in this section, the department is directed to:</w:t>
      </w:r>
    </w:p>
    <w:p>
      <w:pPr>
        <w:spacing w:before="0" w:after="0" w:line="408" w:lineRule="exact"/>
        <w:ind w:left="0" w:right="0" w:firstLine="576"/>
        <w:jc w:val="left"/>
      </w:pPr>
      <w:r>
        <w:rPr/>
        <w:t xml:space="preserve">(a) Determine an initial set of regulatory actions under this chapter by June 1, 2024; and</w:t>
      </w:r>
    </w:p>
    <w:p>
      <w:pPr>
        <w:spacing w:before="0" w:after="0" w:line="408" w:lineRule="exact"/>
        <w:ind w:left="0" w:right="0" w:firstLine="576"/>
        <w:jc w:val="left"/>
      </w:pPr>
      <w:r>
        <w:rPr/>
        <w:t xml:space="preserve">(b) Adopt rules to implement the initial set of determinations of regulatory actions under (a) of this subsection by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2020 c 20 s 1455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70A.350.010(12)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w:t>
      </w:r>
      <w:r>
        <w:rPr>
          <w:u w:val="single"/>
        </w:rPr>
        <w:t xml:space="preserve">The deadline of June 1, 2022, does not apply to the priority consumer products identified in section 1 of this act.</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70A.350.010(12) (a) through (g)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030</w:t>
      </w:r>
      <w:r>
        <w:rPr/>
        <w:t xml:space="preserve"> and 2020 c 20 s 1453 are each amended to read as follows:</w:t>
      </w:r>
    </w:p>
    <w:p>
      <w:pPr>
        <w:spacing w:before="0" w:after="0" w:line="408" w:lineRule="exact"/>
        <w:ind w:left="0" w:right="0" w:firstLine="576"/>
        <w:jc w:val="left"/>
      </w:pPr>
      <w:r>
        <w:rPr/>
        <w:t xml:space="preserve">(1) Every five years, and consistent with the timeline established in RCW 70A.350.050,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70A.300 RCW as a source of a priority chemical or other reports or information gathered under chapter 70A.430, 70A.405, 70A.222, 70A.335, 70A.340, 70A.230, or 70A.400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70A.350.040, the department may </w:t>
      </w:r>
      <w:r>
        <w:t>((</w:t>
      </w:r>
      <w:r>
        <w:rPr>
          <w:strike/>
        </w:rPr>
        <w:t xml:space="preserve">request</w:t>
      </w:r>
      <w:r>
        <w:t>))</w:t>
      </w:r>
      <w:r>
        <w:rPr/>
        <w:t xml:space="preserve"> </w:t>
      </w:r>
      <w:r>
        <w:rPr>
          <w:u w:val="single"/>
        </w:rPr>
        <w:t xml:space="preserve">order</w:t>
      </w:r>
      <w:r>
        <w:rPr/>
        <w:t xml:space="preserve"> a manufacturer to submit a notice to the department that contains the information specified in RCW 70A.430.060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70A.350.040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020</w:t>
      </w:r>
      <w:r>
        <w:rPr/>
        <w:t xml:space="preserve"> and 2020 c 20 s 1452 are each amended to read as follows:</w:t>
      </w:r>
    </w:p>
    <w:p>
      <w:pPr>
        <w:spacing w:before="0" w:after="0" w:line="408" w:lineRule="exact"/>
        <w:ind w:left="0" w:right="0" w:firstLine="576"/>
        <w:jc w:val="left"/>
      </w:pPr>
      <w:r>
        <w:rPr/>
        <w:t xml:space="preserve">Every five years, and consistent with the timeline established in RCW 70A.350.050,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Persistent, bioaccumulative toxin under chapter 70A.300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70A.430, 70A.405, 70A.222, 70A.335, 70A.340, 70A.230, or 70A.400 RCW; or</w:t>
      </w:r>
    </w:p>
    <w:p>
      <w:pPr>
        <w:spacing w:before="0" w:after="0" w:line="408" w:lineRule="exact"/>
        <w:ind w:left="0" w:right="0" w:firstLine="576"/>
        <w:jc w:val="left"/>
      </w:pPr>
      <w:r>
        <w:rPr/>
        <w:t xml:space="preserve">(b) As a hazardous substance under chapter 70A.300 or 70A.305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040</w:t>
      </w:r>
      <w:r>
        <w:rPr/>
        <w:t xml:space="preserve"> and 2020 c 20 s 1454 are each amended to read as follows:</w:t>
      </w:r>
    </w:p>
    <w:p>
      <w:pPr>
        <w:spacing w:before="0" w:after="0" w:line="408" w:lineRule="exact"/>
        <w:ind w:left="0" w:right="0" w:firstLine="576"/>
        <w:jc w:val="left"/>
      </w:pPr>
      <w:r>
        <w:rPr/>
        <w:t xml:space="preserve">(1) Every five years, and consistent with the timeline established in RCW 70A.350.050,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70A.430.060;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70A.350.030(4).</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70A.350.020 and 70A.350.030,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9,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4 and 5, Engrossed Substitute House Bill No. 1694 entitled:</w:t>
      </w:r>
    </w:p>
    <w:p>
      <w:pPr>
        <w:spacing w:before="120" w:after="0" w:line="408" w:lineRule="exact"/>
        <w:ind w:left="0" w:right="0" w:firstLine="576"/>
        <w:jc w:val="left"/>
      </w:pPr>
      <w:r>
        <w:rPr/>
        <w:t xml:space="preserve">"AN ACT Relating to logistical processes for the regulation of priority chemicals in consumer products."</w:t>
      </w:r>
    </w:p>
    <w:p>
      <w:pPr>
        <w:spacing w:before="120" w:after="0" w:line="408" w:lineRule="exact"/>
        <w:ind w:left="0" w:right="0" w:firstLine="0"/>
        <w:jc w:val="left"/>
      </w:pPr>
      <w:r>
        <w:rPr/>
        <w:t xml:space="preserve">Sections 4 and 5 of this bill are existing statutes related to two different reports that must be provided to the Legislature regarding priority chemicals. However, the proposed changes that were made to these statutes in the original bill were removed as this bill moved through the legislative process, leaving the current statutes unchanged. I am vetoing sections 4 and 5 of this bill because they do not make any amendments to the underlying statutes in question.</w:t>
      </w:r>
    </w:p>
    <w:p>
      <w:pPr>
        <w:spacing w:before="120" w:after="0" w:line="408" w:lineRule="exact"/>
        <w:ind w:left="0" w:right="0" w:firstLine="0"/>
        <w:jc w:val="left"/>
      </w:pPr>
      <w:r>
        <w:rPr/>
        <w:t xml:space="preserve">For these reasons I have vetoed Sections 4 and 5 of Engrossed Substitute House Bill No. 1694.</w:t>
      </w:r>
    </w:p>
    <w:p>
      <w:pPr>
        <w:spacing w:before="120" w:after="0" w:line="408" w:lineRule="exact"/>
        <w:ind w:left="0" w:right="0" w:firstLine="0"/>
        <w:jc w:val="left"/>
      </w:pPr>
      <w:r>
        <w:rPr/>
        <w:t xml:space="preserve">With the exception of Sections 4 and 5, Engrossed Substitute House Bill No. 1694 is approved."</w:t>
      </w:r>
    </w:p>
    <w:sectPr>
      <w:pgNumType w:start="1"/>
      <w:footerReference xmlns:r="http://schemas.openxmlformats.org/officeDocument/2006/relationships" r:id="Rb1449f9274ce4e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1c596a8d44062" /><Relationship Type="http://schemas.openxmlformats.org/officeDocument/2006/relationships/footer" Target="/word/footer1.xml" Id="Rb1449f9274ce4eff" /></Relationships>
</file>