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4af23357a48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1733</w:t>
      </w:r>
    </w:p>
    <w:p>
      <w:pPr>
        <w:jc w:val="center"/>
        <w:spacing w:before="480" w:after="0" w:line="240"/>
      </w:pPr>
      <w:r>
        <w:t xml:space="preserve">Chapter </w:t>
      </w:r>
      <w:r>
        <w:rPr/>
        <w:t xml:space="preserve">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LONG-TERM SERVICES AND SUPPORTS TRUST PROGRAM—VOLUNTARY EXEMPTIONS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19, 2022</w:t>
            </w:r>
          </w:p>
          <w:p>
            <w:pPr>
              <w:ind w:left="0" w:right="0" w:firstLine="360"/>
            </w:pPr>
            <w:r>
              <w:t xml:space="preserve">Yeas </w:t>
              <w:t xml:space="preserve">67</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38</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January 27, 2022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January 27,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1733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Macri, J. Johnson, Leavitt, Bronoske, Chapman, Senn, Berry, Cody, Dolan, Fey, Peterson, Ryu, Santos, Shewmake, Wylie, Simmons, Callan, Chopp, Slatter, Ramos, Bergquist, Tharinger, Valdez, Thai, Pollet, Morgan, Taylor, Stonier, Ortiz-Self, Gregerson, Riccelli, Davis,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voluntary exemptions to the long-term services and supports trust program for certain populations identified in the long-term services and supports trust commission's 2022 recommendations report, specifically including exemptions only for veterans with a service-connected disability of 70 percent or higher, the spouses or domestic partners of active duty service members, persons residing outside of Washington while working in Washington, and persons working in the United States under a temporary, nonimmigrant work visa; amending RCW 50B.04.080 and 50B.04.050;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Unless otherwise exempted pursuant to this chapter, beginning</w:t>
      </w:r>
      <w:r>
        <w:rPr/>
        <w:t xml:space="preserve"> January 1, 2022,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2024,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2023, the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An employee who holds a nonimmigrant visa for temporary workers, as recognized by federal law, and is employed by an employer in Washington; or</w:t>
      </w:r>
    </w:p>
    <w:p>
      <w:pPr>
        <w:spacing w:before="0" w:after="0" w:line="408" w:lineRule="exact"/>
        <w:ind w:left="0" w:right="0" w:firstLine="576"/>
        <w:jc w:val="left"/>
      </w:pPr>
      <w:r>
        <w:rPr/>
        <w:t xml:space="preserve">(d) An employee who is employed by an employer in Washington, but maintains a permanent address outside of Washington as the employee's primary location of residence.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 (5), or (6)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Within 90 days of the occurrence of either of the events in (a) of this subsection,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either of the events in (a) of this subsection;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the occurrence of either of the events in (a) of this subsection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t xml:space="preserve">(d) Failure to begin paying the premium established under RCW 50B.04.080 within 90 days of an employee establishing a permanent address within Washington as the employee's primary location of residence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t xml:space="preserve">(7) Exempt employees are not entitled to a refund of any premium deductions made before the effective date of an approved exemption, except for premiums collected prior to the effective date of the premium assessment under RCW 50B.04.080.</w:t>
      </w:r>
    </w:p>
    <w:p>
      <w:pPr>
        <w:spacing w:before="0" w:after="0" w:line="408" w:lineRule="exact"/>
        <w:ind w:left="0" w:right="0" w:firstLine="576"/>
        <w:jc w:val="left"/>
      </w:pPr>
      <w:r>
        <w:rPr/>
        <w:t xml:space="preserve">(8)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rPr/>
        <w:t xml:space="preserve">(9) If an exempt employee fails to notify an employer of an exemption, the exempt employee is not entitled to a refund of any premium deductions made before notification is provided, except for premiums collected prior to the effective date of the premium assessment under RCW 50B.04.080.</w:t>
      </w:r>
    </w:p>
    <w:p>
      <w:pPr>
        <w:spacing w:before="0" w:after="0" w:line="408" w:lineRule="exact"/>
        <w:ind w:left="0" w:right="0" w:firstLine="576"/>
        <w:jc w:val="left"/>
      </w:pPr>
      <w:r>
        <w:rPr/>
        <w:t xml:space="preserve">(10)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(11) The provisions of RCW 50B.04.085 do not apply to the exemptions issued pursuant to this section.</w:t>
      </w:r>
    </w:p>
    <w:p>
      <w:pPr>
        <w:spacing w:before="0" w:after="0" w:line="408" w:lineRule="exact"/>
        <w:ind w:left="0" w:right="0" w:firstLine="576"/>
        <w:jc w:val="left"/>
      </w:pPr>
      <w:r>
        <w:rPr/>
        <w:t xml:space="preserve">(12) The employment security department shall adopt rules necessary to implement and administer the activities specified in this section related to the program, including rules on the submission and processing of applications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or each of the three years in subsection (1)(b) of this section.</w:t>
      </w:r>
    </w:p>
    <w:p>
      <w:pPr>
        <w:spacing w:before="0" w:after="0" w:line="408" w:lineRule="exact"/>
        <w:ind w:left="0" w:right="0" w:firstLine="576"/>
        <w:jc w:val="left"/>
      </w:pPr>
      <w:r>
        <w:rPr/>
        <w:t xml:space="preserve">(3) An exempt employee may never be deemed to be a qualified individual</w:t>
      </w:r>
      <w:r>
        <w:rPr>
          <w:u w:val="single"/>
        </w:rPr>
        <w:t xml:space="preserve">, unless the employee's exemption was discontinued under section 2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19, 2022.</w:t>
      </w:r>
    </w:p>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Approved by the Governor January 27, 2022.</w:t>
      </w:r>
    </w:p>
    <w:p>
      <w:pPr>
        <w:spacing w:before="0" w:after="0" w:line="408" w:lineRule="exact"/>
        <w:ind w:left="0" w:right="0" w:firstLine="576"/>
        <w:jc w:val="left"/>
      </w:pPr>
      <w:r>
        <w:rPr/>
        <w:t xml:space="preserve">Filed in Office of Secretary of State January 27, 2022.</w:t>
      </w:r>
    </w:p>
    <w:sectPr>
      <w:pgNumType w:start="1"/>
      <w:footerReference xmlns:r="http://schemas.openxmlformats.org/officeDocument/2006/relationships" r:id="R25dc7e94ee7344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381b17b73459d" /><Relationship Type="http://schemas.openxmlformats.org/officeDocument/2006/relationships/footer" Target="/word/footer1.xml" Id="R25dc7e94ee734405" /></Relationships>
</file>