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0f787a97964b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5038</w:t>
      </w:r>
    </w:p>
    <w:p>
      <w:pPr>
        <w:jc w:val="center"/>
        <w:spacing w:before="480" w:after="0" w:line="240"/>
      </w:pPr>
      <w:r>
        <w:t xml:space="preserve">Chapter </w:t>
      </w:r>
      <w:r>
        <w:rPr/>
        <w:t xml:space="preserve">261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OPEN CARRY OF WEAPONS—DEMONSTRATIONS AND STATE CAPITOL</w:t>
      </w:r>
    </w:p>
    <w:p>
      <w:pPr>
        <w:spacing w:before="720" w:after="240" w:line="240" w:lineRule="exact"/>
        <w:ind w:left="0" w:right="0" w:firstLine="0"/>
        <w:jc w:val="center"/>
      </w:pPr>
      <w:r>
        <w:t xml:space="preserve">EFFECTIVE DATE: </w:t>
      </w:r>
      <w:r>
        <w:rPr/>
        <w:t xml:space="preserve">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Kuderer, Das, Carlyle, Darneille, Dhingra, Hunt, Liias, Lovelett, Nguyen, Pedersen, Rolfes, Saldaña, Salomon, Wellman,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open carry of certain weapons at public permitted demonstrations and the state capitol; reenacting and amending RCW 9.41.300; adding a new section to chapter 9.41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u w:val="single"/>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u w:val="single"/>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u w:val="single"/>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(iii) "Weapon" has the same meaning given in subsection (1)(b) of this section.</w:t>
      </w:r>
    </w:p>
    <w:p>
      <w:pPr>
        <w:spacing w:before="0" w:after="0" w:line="408" w:lineRule="exact"/>
        <w:ind w:left="0" w:right="0" w:firstLine="576"/>
        <w:jc w:val="left"/>
      </w:pPr>
      <w:r>
        <w:rPr>
          <w:u w:val="single"/>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as defined in RCW 9.41.300(1)(b), while knowingly being in the following locations: The west state capitol campus grounds; any buildings on the state capitol grounds; any state legislative office; or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rPr/>
        <w:t xml:space="preserve">(5) A person violating this section is guilty of a gross misdemeanor.</w:t>
      </w:r>
    </w:p>
    <w:p>
      <w:pPr>
        <w:spacing w:before="0" w:after="0" w:line="408" w:lineRule="exact"/>
        <w:ind w:left="0" w:right="0" w:firstLine="576"/>
        <w:jc w:val="left"/>
      </w:pPr>
      <w:r>
        <w:rPr/>
        <w:t xml:space="preserve">(6) Nothing in this section applies to the lawful concealed carry of a firearm by a person who has a valid concealed pistol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March 28,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adb6eeccf018404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b490c80e647d5" /><Relationship Type="http://schemas.openxmlformats.org/officeDocument/2006/relationships/footer" Target="/word/footer1.xml" Id="Radb6eeccf0184048" /></Relationships>
</file>