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062adace040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5058</w:t>
      </w:r>
    </w:p>
    <w:p>
      <w:pPr>
        <w:jc w:val="center"/>
        <w:spacing w:before="480" w:after="0" w:line="240"/>
      </w:pPr>
      <w:r>
        <w:t xml:space="preserve">Chapter </w:t>
      </w:r>
      <w:r>
        <w:rPr/>
        <w:t xml:space="preserve">14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NATURAL RESOURCES ACCOUNTS--TECHNICAL CHANGES</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Rolfes and Van De Wege; by request of Department of Fish and Wildlife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to certain natural resources-related accounts; amending RCW 77.36.170;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2020 c 148 s 24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fish, wildlife, and conservation</w:t>
      </w:r>
      <w:r>
        <w:t>))</w:t>
      </w:r>
      <w:r>
        <w:rPr/>
        <w:t xml:space="preserve"> </w:t>
      </w:r>
      <w:r>
        <w:rPr>
          <w:u w:val="single"/>
        </w:rPr>
        <w:t xml:space="preserve">limited fish and wildlife</w:t>
      </w:r>
      <w:r>
        <w:rPr/>
        <w:t xml:space="preserve"> account created in RCW 77.12.170</w:t>
      </w:r>
      <w:r>
        <w:t>((</w:t>
      </w:r>
      <w:r>
        <w:rPr>
          <w:strike/>
        </w:rPr>
        <w:t xml:space="preserve">(3)</w:t>
      </w:r>
      <w:r>
        <w:t>))</w:t>
      </w:r>
      <w:r>
        <w:rPr/>
        <w:t xml:space="preserve"> </w:t>
      </w:r>
      <w:r>
        <w:rPr>
          <w:u w:val="single"/>
        </w:rPr>
        <w:t xml:space="preserve">(1)</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 (1) of this section are unspent as of June 30th of a fiscal year, the state treasurer shall transfer the unspent amount to the wolf-livestock conflict account created in RCW 77.36.180.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0052f8a465d04e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e85233cc440cc" /><Relationship Type="http://schemas.openxmlformats.org/officeDocument/2006/relationships/footer" Target="/word/footer1.xml" Id="R0052f8a465d04e75" /></Relationships>
</file>