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a0fe6334464b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5101</w:t>
      </w:r>
    </w:p>
    <w:p>
      <w:pPr>
        <w:jc w:val="center"/>
        <w:spacing w:before="480" w:after="0" w:line="240"/>
      </w:pPr>
      <w:r>
        <w:t xml:space="preserve">Chapter </w:t>
      </w:r>
      <w:r>
        <w:rPr/>
        <w:t xml:space="preserve">233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EMERGENCY MANAGEMENT COUNCIL—TRIBAL REPRESENTATION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Stanford, Conway, Dhingra, Hasegawa, Hunt, Nguyen, Randall, Saldaña, Wagoner, and Wilson, C.; by request of Military Department</w:t>
      </w:r>
    </w:p>
    <w:p/>
    <w:p>
      <w:r>
        <w:rPr>
          <w:t xml:space="preserve">Prefiled 01/07/21.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tribal representation on the emergency management council; and amending RCW 38.52.040.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2019 c 333 s 9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eighteen</w:t>
      </w:r>
      <w:r>
        <w:t>))</w:t>
      </w:r>
      <w:r>
        <w:rPr/>
        <w:t xml:space="preserve"> </w:t>
      </w:r>
      <w:r>
        <w:rPr>
          <w:u w:val="single"/>
        </w:rPr>
        <w:t xml:space="preserve">21</w:t>
      </w:r>
      <w:r>
        <w:rPr/>
        <w:t xml:space="preserve"> members who shall be appointed by the adjutant general. The membership of the council shall include, but not be limited to, representatives of city and county governments, </w:t>
      </w:r>
      <w:r>
        <w:rPr>
          <w:u w:val="single"/>
        </w:rPr>
        <w:t xml:space="preserve">two representatives of federally recognized tribes,</w:t>
      </w:r>
      <w:r>
        <w:rPr/>
        <w:t xml:space="preserve">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edff79a11b604d2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677b05a80d4a57" /><Relationship Type="http://schemas.openxmlformats.org/officeDocument/2006/relationships/footer" Target="/word/footer1.xml" Id="Redff79a11b604d2a" /></Relationships>
</file>