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47e804872c42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5133</w:t>
      </w:r>
    </w:p>
    <w:p>
      <w:pPr>
        <w:jc w:val="center"/>
        <w:spacing w:before="480" w:after="0" w:line="240"/>
      </w:pPr>
      <w:r>
        <w:t xml:space="preserve">Chapter </w:t>
      </w:r>
      <w:r>
        <w:rPr/>
        <w:t xml:space="preserve">180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STATE COLLECTIVE BARGAINING—CONFIDENTIAL EMPLOYEES DEFINITION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2021</w:t>
            </w:r>
          </w:p>
          <w:p>
            <w:pPr>
              <w:ind w:left="0" w:right="0" w:firstLine="360"/>
            </w:pPr>
            <w:r>
              <w:t xml:space="preserve">Yeas </w:t>
              <w:t xml:space="preserve">34</w:t>
            </w:r>
            <w:r>
              <w:t xml:space="preserve">  Nays </w:t>
              <w:t xml:space="preserve">15</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64</w:t>
            </w:r>
            <w:r>
              <w:t xml:space="preserve">  Nays </w:t>
              <w:t xml:space="preserve">34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5133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2:34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5133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Conway, Hasegawa, Keiser, Saldaña, and Wilson, C.</w:t>
      </w:r>
    </w:p>
    <w:p/>
    <w:p>
      <w:r>
        <w:rPr>
          <w:t xml:space="preserve">Prefiled 01/08/21.</w:t>
        </w:rPr>
      </w:r>
      <w:r>
        <w:rPr>
          <w:t xml:space="preserve">Read first time 01/11/21.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confidential employee for the purposes of state collective bargaining; and amending RCW 41.80.005.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2020 c 77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"Agency" also includes the assistant attorneys general of the attorney general's office and the administrative law judges of the office of administrative hearings, regardless of whether those employees are exempt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w:t>
      </w:r>
      <w:r>
        <w:t>((</w:t>
      </w:r>
      <w:r>
        <w:rPr>
          <w:strike/>
        </w:rPr>
        <w:t xml:space="preserve">, or who advise or represent the state in tort actions</w:t>
      </w:r>
      <w:r>
        <w:t>))</w:t>
      </w:r>
      <w:r>
        <w:rPr/>
        <w:t xml:space="preserve">.</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"Employee" includes assistant attorneys general of the office of the attorney general and administrative law judges of the office of administrative hearings, regardless of their exemption under chapter 41.06 RCW. "Employee" does not include:</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t xml:space="preserve">(15) "Uniformed personnel" means duly sworn police officers employed as members of a police force established pursuant to RCW 28B.10.550.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2021.</w:t>
      </w:r>
    </w:p>
    <w:p>
      <w:pPr>
        <w:spacing w:before="0" w:after="0" w:line="408" w:lineRule="exact"/>
        <w:ind w:left="0" w:right="0" w:firstLine="576"/>
        <w:jc w:val="left"/>
      </w:pPr>
      <w:r>
        <w:rPr/>
        <w:t xml:space="preserve">Passed by the House April 8,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58800acb32c34fe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85d869a9f34c36" /><Relationship Type="http://schemas.openxmlformats.org/officeDocument/2006/relationships/footer" Target="/word/footer1.xml" Id="R58800acb32c34fed" /></Relationships>
</file>