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364905c3040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5229</w:t>
      </w:r>
    </w:p>
    <w:p>
      <w:pPr>
        <w:jc w:val="center"/>
        <w:spacing w:before="480" w:after="0" w:line="240"/>
      </w:pPr>
      <w:r>
        <w:t xml:space="preserve">Chapter </w:t>
      </w:r>
      <w:r>
        <w:rPr/>
        <w:t xml:space="preserve">276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PROFESSIONALS—HEALTH EQUITY CONTINUING EDUCATION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33</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Randall, Das, Keiser, Lovelett, Nobles, Wilson, C., Dhingra, Hasegawa, Kuderer, Nguyen, and Stanford)</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equity continuing education for health care professionals; amending RCW 43.70.615;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Healthy Washingtonians contribute to the economic and social welfare of their families and communities, and access to health services and improved health outcomes allows all Washington families to enjoy productive and satisfying lives;</w:t>
      </w:r>
    </w:p>
    <w:p>
      <w:pPr>
        <w:spacing w:before="0" w:after="0" w:line="408" w:lineRule="exact"/>
        <w:ind w:left="0" w:right="0" w:firstLine="576"/>
        <w:jc w:val="left"/>
      </w:pPr>
      <w:r>
        <w:rPr/>
        <w:t xml:space="preserve">(2) The COVID-19 pandemic has further exposed that health outcomes are experienced differently by different people based on discrimination and bias by the health care system. Research shows that health care resources are distributed unevenly by intersectional categories including, but not limited to, race, gender, ability status, religion, sexual orientation, socioeconomic status, and geography; and</w:t>
      </w:r>
    </w:p>
    <w:p>
      <w:pPr>
        <w:spacing w:before="0" w:after="0" w:line="408" w:lineRule="exact"/>
        <w:ind w:left="0" w:right="0" w:firstLine="576"/>
        <w:jc w:val="left"/>
      </w:pPr>
      <w:r>
        <w:rPr/>
        <w:t xml:space="preserve">(3) These inequities have permeated health care delivery, deepening adverse outcomes for marginalized communities. This bill aims to equip health care workers with the skills to recognize and reduce these inequities in their daily work. In addition to their individual impact, health care workers need the skills to address systemic racism and bias.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2023.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a43290c6ec7f40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e206791b845c5" /><Relationship Type="http://schemas.openxmlformats.org/officeDocument/2006/relationships/footer" Target="/word/footer1.xml" Id="Ra43290c6ec7f40ea" /></Relationships>
</file>