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aa4c0a4a44b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5259</w:t>
      </w:r>
    </w:p>
    <w:p>
      <w:pPr>
        <w:jc w:val="center"/>
        <w:spacing w:before="480" w:after="0" w:line="240"/>
      </w:pPr>
      <w:r>
        <w:t xml:space="preserve">Chapter </w:t>
      </w:r>
      <w:r>
        <w:rPr/>
        <w:t xml:space="preserve">326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ENFORCEMENT—USE OF FORCE—DATA COLLECTION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Carlyle, Darneille, Das, Dhingra, Frockt, Hasegawa, Hunt, Keiser, Kuderer, Liias, Lovelett, Nguyen, Pedersen, Randall, Robinson, Saldaña, Stanford, Wellman, and Wilson, C.; by request of Attorney General)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have a focus on or expertise in the use and role of data as it relates to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in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raw and/or refined incident based data using an established open data standard, available online at no cost in a downloadable, machine-readable, nonproprietary format, redacted only as necessary to comply with the public records act (chapter 42.56 RCW) and the Washington state criminal records privacy act (chapter 10.97 RCW);</w:t>
      </w:r>
    </w:p>
    <w:p>
      <w:pPr>
        <w:spacing w:before="0" w:after="0" w:line="408" w:lineRule="exact"/>
        <w:ind w:left="0" w:right="0" w:firstLine="576"/>
        <w:jc w:val="left"/>
      </w:pPr>
      <w:r>
        <w:rPr/>
        <w:t xml:space="preserve">(ii) Publicly accessible online data dashboards that summarize and analyze the data, excluding personally identifiable information;</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Recommend practices for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(g) Recommend practices in the following areas:</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w:t>
      </w:r>
    </w:p>
    <w:p>
      <w:pPr>
        <w:spacing w:before="0" w:after="0" w:line="408" w:lineRule="exact"/>
        <w:ind w:left="0" w:right="0" w:firstLine="576"/>
        <w:jc w:val="left"/>
      </w:pPr>
      <w:r>
        <w:rPr/>
        <w:t xml:space="preserve">(iii) Incorporating available historical data to identify long-term trends and patterns; and</w:t>
      </w:r>
    </w:p>
    <w:p>
      <w:pPr>
        <w:spacing w:before="0" w:after="0" w:line="408" w:lineRule="exact"/>
        <w:ind w:left="0" w:right="0" w:firstLine="576"/>
        <w:jc w:val="left"/>
      </w:pPr>
      <w:r>
        <w:rPr/>
        <w:t xml:space="preserve">(iv) Analysis of data, using methodologies based in best practices or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(c) The office of the attorney general may not approve any recommendation that requires any law enforcement agency to disclose information that would jeopardize an active criminal investigation, confidential informant, or intelligence information.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in accordance with the requirements of the statewide use of force data program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0" w:after="0" w:line="408" w:lineRule="exact"/>
        <w:ind w:left="0" w:right="0" w:firstLine="576"/>
        <w:jc w:val="left"/>
      </w:pPr>
      <w:r>
        <w:rPr/>
        <w:t xml:space="preserve">(5) A law enforcement agency has satisfied its reporting obligations pursuant to this act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0199fd76995d4a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3b7554a7a468b" /><Relationship Type="http://schemas.openxmlformats.org/officeDocument/2006/relationships/footer" Target="/word/footer1.xml" Id="R0199fd76995d4ad1" /></Relationships>
</file>