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f2764ac2b74d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5287</w:t>
      </w:r>
    </w:p>
    <w:p>
      <w:pPr>
        <w:jc w:val="center"/>
        <w:spacing w:before="480" w:after="0" w:line="240"/>
      </w:pPr>
      <w:r>
        <w:t xml:space="preserve">Chapter </w:t>
      </w:r>
      <w:r>
        <w:rPr/>
        <w:t xml:space="preserve">187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AFFORDABLE HOUSING—TAX INCENTIVES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41</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81</w:t>
            </w:r>
            <w:r>
              <w:t xml:space="preserve">  Nays </w:t>
              <w:t xml:space="preserve">16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Das, Kuderer, Conway, Keiser, Liias, Nguyen, Nobles, Pedersen, Randall, Salomon,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incentives; amending RCW 84.14.005, 84.14.010, 84.14.020, 84.14.040, 84.14.100, 84.14.030, and 84.14.090; adding a new section to chapter 84.14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005</w:t>
      </w:r>
      <w:r>
        <w:rPr/>
        <w:t xml:space="preserve"> and 2007 c 430 s 1 are each amended to read as follows:</w:t>
      </w:r>
    </w:p>
    <w:p>
      <w:pPr>
        <w:spacing w:before="0" w:after="0" w:line="408" w:lineRule="exact"/>
        <w:ind w:left="0" w:right="0" w:firstLine="576"/>
        <w:jc w:val="left"/>
      </w:pPr>
      <w:r>
        <w:rPr>
          <w:u w:val="single"/>
        </w:rPr>
        <w:t xml:space="preserve">(1)</w:t>
      </w:r>
      <w:r>
        <w:rPr/>
        <w:t xml:space="preserve"> The legislature finds: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in many of Washington's urban centers there is insufficient availability of desirable and convenient residential units, including affordable housing units, to meet the needs of a growing number of the public who would live in these urban centers if these desirable, convenient, attractive, affordable, and livable places to live were available;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the development of additional and desirable residential units, including affordable housing units, in these urban centers that will attract and maintain a significant increase in the number of permanent residents in these areas will help to alleviate the detrimental conditions and social liability that tend to exist in the absence of a viable mixed income residential population and will help to achieve the planning goals mandated by the growth management act under RCW 36.70A.020;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planning solutions to solve the problems of urban sprawl often lack incentive and implementation techniques needed to encourage residential redevelopment in those urban centers lacking a sufficient variety of residential opportunities, and it is in the public interest and will benefit, provide, and promote the public health, safety, and welfare to stimulate new or enhanced residential opportunities, including affordable housing opportunities, within urban centers through a tax incentive as provided by this chapter.</w:t>
      </w:r>
    </w:p>
    <w:p>
      <w:pPr>
        <w:spacing w:before="0" w:after="0" w:line="408" w:lineRule="exact"/>
        <w:ind w:left="0" w:right="0" w:firstLine="576"/>
        <w:jc w:val="left"/>
      </w:pPr>
      <w:r>
        <w:rPr>
          <w:u w:val="single"/>
        </w:rPr>
        <w:t xml:space="preserve">(2) Therefore, the legislature intends to achieve multiple goals by incentivizing the development of multiple-unit housing including creating additional affordable housing, encouraging urban development and density, increasing market rate workforce housing, developing permanently affordable housing opportunities, promoting economic investment and recovery, and creating family-wage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w:t>
      </w:r>
      <w:r>
        <w:t>((</w:t>
      </w:r>
      <w:r>
        <w:rPr>
          <w:strike/>
        </w:rPr>
        <w:t xml:space="preserve">or</w:t>
      </w:r>
      <w:r>
        <w:t>))</w:t>
      </w:r>
      <w:r>
        <w:rPr/>
        <w:t xml:space="preserve"> (c) a city or town with a population of at least five thousand located in a county subject to the provisions of RCW 36.70A.215</w:t>
      </w:r>
      <w:r>
        <w:rPr>
          <w:u w:val="single"/>
        </w:rPr>
        <w:t xml:space="preserve">, or (d) any city that otherwise does not meet the qualifications under (a) through (c) of this subsection, until December 31, 2031, that complies with RCW 84.14.020(1)(a)(iii) or section 7(1)(b) of this act</w:t>
      </w:r>
      <w:r>
        <w:rPr/>
        <w:t xml:space="preserve">.</w:t>
      </w:r>
    </w:p>
    <w:p>
      <w:pPr>
        <w:spacing w:before="0" w:after="0" w:line="408" w:lineRule="exact"/>
        <w:ind w:left="0" w:right="0" w:firstLine="576"/>
        <w:jc w:val="left"/>
      </w:pPr>
      <w:r>
        <w:rPr/>
        <w:t xml:space="preserve">(4) "County" means a county with an unincorporated population of at least </w:t>
      </w:r>
      <w:r>
        <w:t>((</w:t>
      </w:r>
      <w:r>
        <w:rPr>
          <w:strike/>
        </w:rPr>
        <w:t xml:space="preserve">three hundred fifty thousand</w:t>
      </w:r>
      <w:r>
        <w:t>))</w:t>
      </w:r>
      <w:r>
        <w:rPr/>
        <w:t xml:space="preserve"> </w:t>
      </w:r>
      <w:r>
        <w:rPr>
          <w:u w:val="single"/>
        </w:rPr>
        <w:t xml:space="preserve">170,000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w:t>
      </w:r>
      <w:r>
        <w:t>((</w:t>
      </w:r>
      <w:r>
        <w:rPr>
          <w:strike/>
        </w:rPr>
        <w:t xml:space="preserve">"High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strike/>
        </w:rPr>
        <w:t xml:space="preserve">(8)</w:t>
      </w:r>
      <w:r>
        <w:t>))</w:t>
      </w:r>
      <w:r>
        <w:rPr/>
        <w:t xml:space="preserve"> "Household" means a single person, family, or unrelated persons living together.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"Low-income household" means a single person, family, or unrelated persons living together whose adjusted income is at or below eighty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"low-income household" means a household that has an income at or below one hundred percent of the median family income adjusted for family size, for the county where the project is located. </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"moderate-income household" means a household that has an income that is more than one hundred percent, but at or below one hundred fifty percent, of the median family income adjusted for family size, for the county</w:t>
      </w:r>
      <w:r>
        <w:rPr>
          <w:strike/>
        </w:rPr>
        <w:t xml:space="preserve"> where the project is located.</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"Multiple-unit housing" means a building </w:t>
      </w:r>
      <w:r>
        <w:rPr>
          <w:u w:val="single"/>
        </w:rPr>
        <w:t xml:space="preserve">or a group of buildings</w:t>
      </w:r>
      <w:r>
        <w:rPr/>
        <w:t xml:space="preserve">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"Owner" means the property owner of record.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2020 c 237 s 2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ten successive years beginning January 1 of the year immediately following the calendar year of issuance of the certificate; </w:t>
      </w:r>
      <w:r>
        <w:t>((</w:t>
      </w:r>
      <w:r>
        <w:rPr>
          <w:strike/>
        </w:rPr>
        <w:t xml:space="preserve">and</w:t>
      </w:r>
      <w:r>
        <w:t>))</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w:t>
      </w:r>
      <w:r>
        <w:t>((</w:t>
      </w:r>
      <w:r>
        <w:rPr>
          <w:strike/>
        </w:rPr>
        <w:t xml:space="preserve">or</w:t>
      </w:r>
      <w:r>
        <w:t>))</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r>
        <w:rPr>
          <w:u w:val="single"/>
        </w:rPr>
        <w:t xml:space="preserve">; or</w:t>
      </w:r>
    </w:p>
    <w:p>
      <w:pPr>
        <w:spacing w:before="0" w:after="0" w:line="408" w:lineRule="exact"/>
        <w:ind w:left="0" w:right="0" w:firstLine="576"/>
        <w:jc w:val="left"/>
      </w:pPr>
      <w:r>
        <w:rPr>
          <w:u w:val="single"/>
        </w:rPr>
        <w:t xml:space="preserve">(C) For 20 successive years beginning January 1st of the year immediately following the calendar year of issuance of the certificate, if the property otherwise qualifies for the exemption under this chapter and meets the conditions in this subsection (1)(a)(ii)(C). For the property to qualify for the 20-year exemption under this subsection, the project must be located within one mile of high capacity transit of at least 15 minute scheduled frequency, in a city that has implemented, as of the effective date of this section, a mandatory inclusionary zoning requirement for affordable housing that ensures affordability of housing units for a period of at least 99 years and that has a population of no more than 65,000 as measured on the effective date of this section. To qualify for the exemption provided in this subsection (1)(a)(ii)(C), the applicant must commit to renting at least 20 percent of the dwelling units as affordable to low-income households for a term of at least 99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(1)(a)(ii)(C)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(1)(a)(ii)(C); and</w:t>
      </w:r>
    </w:p>
    <w:p>
      <w:pPr>
        <w:spacing w:before="0" w:after="0" w:line="408" w:lineRule="exact"/>
        <w:ind w:left="0" w:right="0" w:firstLine="576"/>
        <w:jc w:val="left"/>
      </w:pPr>
      <w:r>
        <w:rPr>
          <w:u w:val="single"/>
        </w:rPr>
        <w:t xml:space="preserve">(iii) Until December 31, 2026, for a city as defined in RCW 84.14.010(3)(d),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low-income or moderate-income households</w:t>
      </w:r>
      <w:r>
        <w:rPr/>
        <w:t xml:space="preserve">.</w:t>
      </w:r>
    </w:p>
    <w:p>
      <w:pPr>
        <w:spacing w:before="0" w:after="0" w:line="408" w:lineRule="exact"/>
        <w:ind w:left="0" w:right="0" w:firstLine="576"/>
        <w:jc w:val="left"/>
      </w:pPr>
      <w:r>
        <w:rPr/>
        <w:t xml:space="preserve">(b) The exemptions provided in (a)(i) </w:t>
      </w:r>
      <w:r>
        <w:t>((</w:t>
      </w:r>
      <w:r>
        <w:rPr>
          <w:strike/>
        </w:rPr>
        <w:t xml:space="preserve">and (ii)</w:t>
      </w:r>
      <w:r>
        <w:t>))</w:t>
      </w:r>
      <w:r>
        <w:rPr/>
        <w:t xml:space="preserve"> </w:t>
      </w:r>
      <w:r>
        <w:rPr>
          <w:u w:val="single"/>
        </w:rPr>
        <w:t xml:space="preserve">through (iii)</w:t>
      </w:r>
      <w:r>
        <w:rPr/>
        <w:t xml:space="preserve">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w:t>
      </w:r>
      <w:r>
        <w:t>((</w:t>
      </w:r>
      <w:r>
        <w:rPr>
          <w:strike/>
        </w:rPr>
        <w:t xml:space="preserve">new or rehabilitated housing cost shall</w:t>
      </w:r>
      <w:r>
        <w:t>))</w:t>
      </w:r>
      <w:r>
        <w:rPr/>
        <w:t xml:space="preserve"> </w:t>
      </w:r>
      <w:r>
        <w:rPr>
          <w:u w:val="single"/>
        </w:rPr>
        <w:t xml:space="preserve">value of the new housing construction, conversion, or rehabilitation improvements must</w:t>
      </w:r>
      <w:r>
        <w:rPr/>
        <w:t xml:space="preserve"> be considered as new construction for the purposes of </w:t>
      </w:r>
      <w:r>
        <w:t>((</w:t>
      </w:r>
      <w:r>
        <w:rPr>
          <w:strike/>
        </w:rPr>
        <w:t xml:space="preserve">chapter 84.55 RCW</w:t>
      </w:r>
      <w:r>
        <w:t>))</w:t>
      </w:r>
      <w:r>
        <w:rPr/>
        <w:t xml:space="preserve"> </w:t>
      </w:r>
      <w:r>
        <w:rPr>
          <w:u w:val="single"/>
        </w:rPr>
        <w:t xml:space="preserve">chapters 84.55 and 36.21 RCW as though the property was not exempt under this chapter</w:t>
      </w:r>
      <w:r>
        <w:rPr/>
        <w:t xml:space="preserve">.</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or (B)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u w:val="single"/>
        </w:rPr>
        <w:t xml:space="preserve">(7) At the end of both the tenth and eleventh years of an extension, for twelve-year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u w:val="single"/>
        </w:rPr>
        <w:t xml:space="preserve">(8)(a) Except as provided in (b) of this subsection, for any 12-year exemption authorized under subsection (1)(a)(ii)(B) or (iii) of this section after the effective date of this section,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u w:val="single"/>
        </w:rPr>
        <w:t xml:space="preserve">(b) If affordability requirements consistent, at a minimum, with those required under subsection (1)(a)(ii)(B) or (iii)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u w:val="single"/>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w:t>
      </w:r>
      <w:r>
        <w:t>((</w:t>
      </w:r>
      <w:r>
        <w:rPr>
          <w:strike/>
        </w:rPr>
        <w:t xml:space="preserve">and</w:t>
      </w:r>
      <w:r>
        <w:t>))</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r>
        <w:rPr>
          <w:u w:val="single"/>
        </w:rPr>
        <w:t xml:space="preserve">; and (iii) until July 15, 2024, in a county seeking to promote transit supportive densities and efficient land use in an area that is located within a designated urban growth area and within .25 miles of a corridor where bus service is scheduled at least every thirty minutes for no less than 10 hours per weekday and is in service or is planned for service to begin within five years of designation; and</w:t>
      </w:r>
    </w:p>
    <w:p>
      <w:pPr>
        <w:spacing w:before="0" w:after="0" w:line="408" w:lineRule="exact"/>
        <w:ind w:left="0" w:right="0" w:firstLine="576"/>
        <w:jc w:val="left"/>
      </w:pPr>
      <w:r>
        <w:rPr>
          <w:u w:val="single"/>
        </w:rPr>
        <w:t xml:space="preserve">(e) For a residential targeted area designated by a county after the effective date of this section, the county governing authority must conduct an evaluation of the risk of potential displacement of residents currently living in the area if the tax incentives authorized in this chapter were to be used in the area. The county may use an existing analysis if one exists. An area may not be designated as a residential targeted area unless: (i) The evaluation finds that the risk of displacement is minimal; or (ii) the governing authority mitigates the risk of displacement with locally adopted mitigation measures such as, but not limited to, ensuring that those directly or indirectly displaced have a first right of refusal to occupy the newly created dwelling units receiving an exemption under this chapter, including the affordable units if they otherwise meet the qualifications</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w:t>
      </w:r>
      <w:r>
        <w:rPr>
          <w:u w:val="single"/>
        </w:rPr>
        <w:t xml:space="preserve">(a)</w:t>
      </w:r>
      <w:r>
        <w:rPr/>
        <w:t xml:space="preserve"> The governing authority may adopt and implement, either as conditions to eight</w:t>
      </w:r>
      <w:r>
        <w:rPr/>
        <w:noBreakHyphen/>
      </w:r>
      <w:r>
        <w:rPr/>
        <w:t xml:space="preserve">year exemptions or as conditions to an extended exemption period under RCW 84.14.020(1)(a)(ii) (B) </w:t>
      </w:r>
      <w:r>
        <w:rPr>
          <w:u w:val="single"/>
        </w:rPr>
        <w:t xml:space="preserve">or (C)</w:t>
      </w:r>
      <w:r>
        <w:rPr/>
        <w:t xml:space="preserve">, or </w:t>
      </w:r>
      <w:r>
        <w:t>((</w:t>
      </w:r>
      <w:r>
        <w:rPr>
          <w:strike/>
        </w:rPr>
        <w:t xml:space="preserve">both</w:t>
      </w:r>
      <w:r>
        <w:t>))</w:t>
      </w:r>
      <w:r>
        <w:rPr/>
        <w:t xml:space="preserve"> </w:t>
      </w:r>
      <w:r>
        <w:rPr>
          <w:u w:val="single"/>
        </w:rPr>
        <w:t xml:space="preserve">as conditions to any combination of exemptions authorized under this chapter</w:t>
      </w:r>
      <w:r>
        <w:rPr/>
        <w:t xml:space="preserve">, more stringent income eligibility, rent, or sale price limits, including limits that apply to a higher percentage of units, than the minimum conditions for an extended exemption period under RCW 84.14.020(1)(a)(ii) (B) </w:t>
      </w:r>
      <w:r>
        <w:rPr>
          <w:u w:val="single"/>
        </w:rPr>
        <w:t xml:space="preserve">or (C)</w:t>
      </w:r>
      <w:r>
        <w:rPr/>
        <w:t xml:space="preserve">.</w:t>
      </w:r>
    </w:p>
    <w:p>
      <w:pPr>
        <w:spacing w:before="0" w:after="0" w:line="408" w:lineRule="exact"/>
        <w:ind w:left="0" w:right="0" w:firstLine="576"/>
        <w:jc w:val="left"/>
      </w:pPr>
      <w:r>
        <w:rPr>
          <w:u w:val="single"/>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u w:val="single"/>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u w:val="single"/>
        </w:rPr>
        <w:t xml:space="preserve">(ii) Payroll record requirements consistent with RCW 39.12.120(1);</w:t>
      </w:r>
    </w:p>
    <w:p>
      <w:pPr>
        <w:spacing w:before="0" w:after="0" w:line="408" w:lineRule="exact"/>
        <w:ind w:left="0" w:right="0" w:firstLine="576"/>
        <w:jc w:val="left"/>
      </w:pPr>
      <w:r>
        <w:rPr>
          <w:u w:val="single"/>
        </w:rPr>
        <w:t xml:space="preserve">(iii) Apprenticeship utilization requirements consistent with RCW 39.04.310; and</w:t>
      </w:r>
    </w:p>
    <w:p>
      <w:pPr>
        <w:spacing w:before="0" w:after="0" w:line="408" w:lineRule="exact"/>
        <w:ind w:left="0" w:right="0" w:firstLine="576"/>
        <w:jc w:val="left"/>
      </w:pPr>
      <w:r>
        <w:rPr>
          <w:u w:val="single"/>
        </w:rPr>
        <w:t xml:space="preserve">(iv) A contracting inclusion plan developed in consultation with the office of minority and women's business enterprises.</w:t>
      </w:r>
    </w:p>
    <w:p>
      <w:pPr>
        <w:spacing w:before="0" w:after="0" w:line="408" w:lineRule="exact"/>
        <w:ind w:left="0" w:right="0" w:firstLine="576"/>
        <w:jc w:val="left"/>
      </w:pPr>
      <w:r>
        <w:rPr>
          <w:u w:val="single"/>
        </w:rPr>
        <w:t xml:space="preserve">(7)</w:t>
      </w:r>
      <w:r>
        <w:rPr/>
        <w:t xml:space="preserve">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w:t>
      </w:r>
      <w:r>
        <w:t>((</w:t>
      </w:r>
      <w:r>
        <w:rPr>
          <w:strike/>
        </w:rPr>
        <w:t xml:space="preserve">(6)</w:t>
      </w:r>
      <w:r>
        <w:t>))</w:t>
      </w:r>
      <w:r>
        <w:rPr/>
        <w:t xml:space="preserve"> </w:t>
      </w:r>
      <w:r>
        <w:rPr>
          <w:u w:val="single"/>
        </w:rPr>
        <w:t xml:space="preserve">(7)</w:t>
      </w:r>
      <w:r>
        <w:rPr/>
        <w:t xml:space="preserve"> may be satisfied solely through housing affordable to moderate-income households.</w:t>
      </w:r>
    </w:p>
    <w:p>
      <w:pPr>
        <w:spacing w:before="0" w:after="0" w:line="408" w:lineRule="exact"/>
        <w:ind w:left="0" w:right="0" w:firstLine="576"/>
        <w:jc w:val="left"/>
      </w:pPr>
      <w:r>
        <w:rPr>
          <w:u w:val="single"/>
        </w:rPr>
        <w:t xml:space="preserve">(8) Nothing in this section prevents a governing authority from adopting and implementing additional requirements to any exemption granted under RCW 84.14.020.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w:t>
      </w:r>
      <w:r>
        <w:rPr>
          <w:u w:val="single"/>
        </w:rPr>
        <w:t xml:space="preserve">, or the qualified nonprofit or local government that will assure permanent affordable homeownership for at least 25 percent of the units for properties receiving an exemption under section 7 of this act,</w:t>
      </w:r>
      <w:r>
        <w:rPr/>
        <w:t xml:space="preserve">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w:t>
      </w:r>
      <w:r>
        <w:t>))</w:t>
      </w:r>
      <w:r>
        <w:rPr/>
        <w:t xml:space="preserve"> </w:t>
      </w:r>
      <w:r>
        <w:rPr>
          <w:u w:val="single"/>
        </w:rPr>
        <w:t xml:space="preserve">April 1st</w:t>
      </w:r>
      <w:r>
        <w:rPr/>
        <w:t xml:space="preserve"> of each year, beginning in 2007, to the department of commerce. </w:t>
      </w:r>
      <w:r>
        <w:rPr>
          <w:u w:val="single"/>
        </w:rPr>
        <w:t xml:space="preserve">A city or county must be in compliance with the reporting requirements of this section to offer certificates of tax exemption for multiunit housing authorized in this chapter.</w:t>
      </w:r>
      <w:r>
        <w:rPr/>
        <w:t xml:space="preserv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w:t>
      </w:r>
      <w:r>
        <w:rPr>
          <w:u w:val="single"/>
        </w:rPr>
        <w:t xml:space="preserve">annual household</w:t>
      </w:r>
      <w:r>
        <w:rPr/>
        <w:t xml:space="preserve"> income </w:t>
      </w:r>
      <w:r>
        <w:t>((</w:t>
      </w:r>
      <w:r>
        <w:rPr>
          <w:strike/>
        </w:rPr>
        <w:t xml:space="preserve">of each renter household at the time of initial occupancy and the income of each initial purchaser of owner</w:t>
      </w:r>
      <w:r>
        <w:rPr>
          <w:strike/>
        </w:rPr>
        <w:t xml:space="preserve">-occupied units at the time of purchase</w:t>
      </w:r>
      <w:r>
        <w:t>))</w:t>
      </w:r>
      <w:r>
        <w:rPr/>
        <w:t xml:space="preserve"> </w:t>
      </w:r>
      <w:r>
        <w:rPr>
          <w:u w:val="single"/>
        </w:rPr>
        <w:t xml:space="preserve">and household size</w:t>
      </w:r>
      <w:r>
        <w:rPr/>
        <w:t xml:space="preserve"> for each of the </w:t>
      </w:r>
      <w:r>
        <w:rPr>
          <w:u w:val="single"/>
        </w:rPr>
        <w:t xml:space="preserve">affordable</w:t>
      </w:r>
      <w:r>
        <w:rPr/>
        <w:t xml:space="preserv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(3)(a) The department of commerce must adopt and implement a program to effectively audit or review that the owner or operator of each property for which a certificate of tax exemption has been issued, except for those properties receiving an exemption that are owned or operated by a nonprofit or for those properties receiving an exemption from a city or county that operates an independent audit or review program, is offering the number of units at rents as committed to in the approved application for an exemption and that the tenants are being properly screened to be qualified for an income-restricted unit. The audit or review program must be adopted in consultation with local governments and other stakeholders and may be based on auditing a percentage of income-restricted units or properties annually. A private owner or operator of a property for which a certificate of tax exemption has been issued under this chapter, must be audited at least once every five years.</w:t>
      </w:r>
    </w:p>
    <w:p>
      <w:pPr>
        <w:spacing w:before="0" w:after="0" w:line="408" w:lineRule="exact"/>
        <w:ind w:left="0" w:right="0" w:firstLine="576"/>
        <w:jc w:val="left"/>
      </w:pPr>
      <w:r>
        <w:rPr>
          <w:u w:val="single"/>
        </w:rPr>
        <w:t xml:space="preserve">(b) If the review or audit required under (a) of this subsection for a given property finds that the owner or operator is not offering the number of units at rents as committed to in the approved application or is not properly screening tenants for income-restricted units, the department of commerce must notify the city or county and the city or county must impose and collect a sliding scale penalty not to exceed an amount calculated by subtracting the amount of rents that would have been collected had the owner or operator complied with their commitment from the amount of rents collected by the owner or operator for the income-restricted units, with consideration of the severity of the noncompliance. If a subsequent review or audit required under (a) of this subsection for a given property finds continued substantial noncompliance with the program requirements, the exemption certificate must be canceled pursuant to RCW 84.14.110.</w:t>
      </w:r>
    </w:p>
    <w:p>
      <w:pPr>
        <w:spacing w:before="0" w:after="0" w:line="408" w:lineRule="exact"/>
        <w:ind w:left="0" w:right="0" w:firstLine="576"/>
        <w:jc w:val="left"/>
      </w:pPr>
      <w:r>
        <w:rPr>
          <w:u w:val="single"/>
        </w:rPr>
        <w:t xml:space="preserve">(c) The department of commerce may impose and collect a fee, not to exceed the costs of the audit or review, from the owner or operator of any property subject to an audit or review required under (a) of this subsection.</w:t>
      </w:r>
    </w:p>
    <w:p>
      <w:pPr>
        <w:spacing w:before="0" w:after="0" w:line="408" w:lineRule="exact"/>
        <w:ind w:left="0" w:right="0" w:firstLine="576"/>
        <w:jc w:val="left"/>
      </w:pPr>
      <w:r>
        <w:rPr>
          <w:u w:val="single"/>
        </w:rPr>
        <w:t xml:space="preserve">(4) The department of commerce must provide guidance to cities and counties, which issue certificates of tax exemption for multiunit housing that conform to the requirements of this chapter, on best practices in managing and reporting for the exemption programs authorized under this chapter, including guidance for cities and counties to collect and report demographic information for tenants of units receiving a tax exemption under this chapter.</w:t>
      </w:r>
    </w:p>
    <w:p>
      <w:pPr>
        <w:spacing w:before="0" w:after="0" w:line="408" w:lineRule="exact"/>
        <w:ind w:left="0" w:right="0" w:firstLine="576"/>
        <w:jc w:val="left"/>
      </w:pPr>
      <w:r>
        <w:rPr>
          <w:u w:val="single"/>
        </w:rPr>
        <w:t xml:space="preserve">(5) This section expires January 1, 2058.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3, chapter . . ., Laws of 2021 (section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12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3, chapter . . ., Laws of 2021 (section 3 of this act), if a review finds that:</w:t>
      </w:r>
    </w:p>
    <w:p>
      <w:pPr>
        <w:spacing w:before="0" w:after="0" w:line="408" w:lineRule="exact"/>
        <w:ind w:left="0" w:right="0" w:firstLine="576"/>
        <w:jc w:val="left"/>
      </w:pPr>
      <w:r>
        <w:rPr/>
        <w:t xml:space="preserve">(a) Projects receiving an initial eight-year or 12-year exemption regularly enter into subsequent 12-year extensions in exchange for continued or increased income restrictions on affordable units; and</w:t>
      </w:r>
    </w:p>
    <w:p>
      <w:pPr>
        <w:spacing w:before="0" w:after="0" w:line="408" w:lineRule="exact"/>
        <w:ind w:left="0" w:right="0" w:firstLine="576"/>
        <w:jc w:val="left"/>
      </w:pPr>
      <w:r>
        <w:rPr/>
        <w:t xml:space="preserve">(b) At least 20 percent of the new housing is developed and occupied by households earning:</w:t>
      </w:r>
    </w:p>
    <w:p>
      <w:pPr>
        <w:spacing w:before="0" w:after="0" w:line="408" w:lineRule="exact"/>
        <w:ind w:left="0" w:right="0" w:firstLine="576"/>
        <w:jc w:val="left"/>
      </w:pPr>
      <w:r>
        <w:rPr/>
        <w:t xml:space="preserve">(i) At or below 80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115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built by or sold to a qualified nonprofit or local government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2031, for a city as defined in RCW 84.14.010(3)(d),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area must be zoned to have an average minimum density equivalent to 15 dwelling units or more per gross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land or nonhousing-related improvements not qualifying under this chapter.</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purposes of this section,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(a) Sponsored by a nonprofit organization or governmental entity;</w:t>
      </w:r>
    </w:p>
    <w:p>
      <w:pPr>
        <w:spacing w:before="0" w:after="0" w:line="408" w:lineRule="exact"/>
        <w:ind w:left="0" w:right="0" w:firstLine="576"/>
        <w:jc w:val="left"/>
      </w:pPr>
      <w:r>
        <w:rPr/>
        <w:t xml:space="preserve">(b) Subject to a ground lease or deed restriction that includes:</w:t>
      </w:r>
    </w:p>
    <w:p>
      <w:pPr>
        <w:spacing w:before="0" w:after="0" w:line="408" w:lineRule="exact"/>
        <w:ind w:left="0" w:right="0" w:firstLine="576"/>
        <w:jc w:val="left"/>
      </w:pPr>
      <w:r>
        <w:rPr/>
        <w:t xml:space="preserve">(i) A resale restriction designed to provide affordability for future low and moderate-income homebuyers;</w:t>
      </w:r>
    </w:p>
    <w:p>
      <w:pPr>
        <w:spacing w:before="0" w:after="0" w:line="408" w:lineRule="exact"/>
        <w:ind w:left="0" w:right="0" w:firstLine="576"/>
        <w:jc w:val="left"/>
      </w:pPr>
      <w:r>
        <w:rPr/>
        <w:t xml:space="preserve">(ii) A right of first refusal for the sponsor organization to purchase the home at resale; and</w:t>
      </w:r>
    </w:p>
    <w:p>
      <w:pPr>
        <w:spacing w:before="0" w:after="0" w:line="408" w:lineRule="exact"/>
        <w:ind w:left="0" w:right="0" w:firstLine="576"/>
        <w:jc w:val="left"/>
      </w:pPr>
      <w:r>
        <w:rPr/>
        <w:t xml:space="preserve">(iii) A requirement that the sponsor must approve any refinancing, including home equity lines of credit; and</w:t>
      </w:r>
    </w:p>
    <w:p>
      <w:pPr>
        <w:spacing w:before="0" w:after="0" w:line="408" w:lineRule="exact"/>
        <w:ind w:left="0" w:right="0" w:firstLine="576"/>
        <w:jc w:val="left"/>
      </w:pPr>
      <w:r>
        <w:rPr/>
        <w:t xml:space="preserve">(c) Sponsored by a nonprofit organization or governmental entity and the sponsor organization:</w:t>
      </w:r>
    </w:p>
    <w:p>
      <w:pPr>
        <w:spacing w:before="0" w:after="0" w:line="408" w:lineRule="exact"/>
        <w:ind w:left="0" w:right="0" w:firstLine="576"/>
        <w:jc w:val="left"/>
      </w:pPr>
      <w:r>
        <w:rPr/>
        <w:t xml:space="preserve">(i)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Supports homeowners and enforces the ground lease or deed restriction.</w:t>
      </w:r>
    </w:p>
    <w:p>
      <w:pPr>
        <w:spacing w:before="0" w:after="0" w:line="408" w:lineRule="exact"/>
        <w:ind w:left="0" w:right="0" w:firstLine="576"/>
        <w:jc w:val="left"/>
      </w:pPr>
      <w:r>
        <w:rPr/>
        <w:t xml:space="preserve">(7) The department of commerce must develop a template for permanent affordability for home or condo ownership through deed restrictions that can be used by a city or local government to ensure compliance with this section.</w:t>
      </w:r>
    </w:p>
    <w:p>
      <w:pPr>
        <w:spacing w:before="0" w:after="0" w:line="408" w:lineRule="exact"/>
        <w:ind w:left="0" w:right="0" w:firstLine="576"/>
        <w:jc w:val="left"/>
      </w:pPr>
      <w:r>
        <w:rPr/>
        <w:t xml:space="preserve">(8) No new exemptions may be provided under this section beginning on or after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7, chapter . . ., Laws of 2021 (section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developers to construct or rehabilitate permanently affordable homeownership units.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20 years, as provided for in section 7 of this act, in order to provide incentives to developers to construct or rehabilitate multifamily housing thereby increasing the number of permanently affordable homeownership units.</w:t>
      </w:r>
    </w:p>
    <w:p>
      <w:pPr>
        <w:spacing w:before="0" w:after="0" w:line="408" w:lineRule="exact"/>
        <w:ind w:left="0" w:right="0" w:firstLine="576"/>
        <w:jc w:val="left"/>
      </w:pPr>
      <w:r>
        <w:rPr/>
        <w:t xml:space="preserve">(5) The legislature intends to extend the expiration date of the tax preferences in section 7, chapter . . ., Laws of 2021 (section 7 of this act), if a review finds that:</w:t>
      </w:r>
    </w:p>
    <w:p>
      <w:pPr>
        <w:spacing w:before="0" w:after="0" w:line="408" w:lineRule="exact"/>
        <w:ind w:left="0" w:right="0" w:firstLine="576"/>
        <w:jc w:val="left"/>
      </w:pPr>
      <w:r>
        <w:rPr/>
        <w:t xml:space="preserve">(a) The number of local governments utilizing the permanently affordable homeownership tax exemption program authorized in section 7 of this act increases over time;</w:t>
      </w:r>
    </w:p>
    <w:p>
      <w:pPr>
        <w:spacing w:before="0" w:after="0" w:line="408" w:lineRule="exact"/>
        <w:ind w:left="0" w:right="0" w:firstLine="576"/>
        <w:jc w:val="left"/>
      </w:pPr>
      <w:r>
        <w:rPr/>
        <w:t xml:space="preserve">(b) The number of permanently affordable homeownership units increases; and</w:t>
      </w:r>
    </w:p>
    <w:p>
      <w:pPr>
        <w:spacing w:before="0" w:after="0" w:line="408" w:lineRule="exact"/>
        <w:ind w:left="0" w:right="0" w:firstLine="576"/>
        <w:jc w:val="left"/>
      </w:pPr>
      <w:r>
        <w:rPr/>
        <w:t xml:space="preserve">(c) The income level of those households benefiting from the permanently affordable homeownership units is consistent with the requirements of section 7 of this act.</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030</w:t>
      </w:r>
      <w:r>
        <w:rPr/>
        <w:t xml:space="preserve"> and 2012 c 194 s 3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or rehabilitated multiple-unit housing must be located in a residential targeted area as designated by the city or county;</w:t>
      </w:r>
    </w:p>
    <w:p>
      <w:pPr>
        <w:spacing w:before="0" w:after="0" w:line="408" w:lineRule="exact"/>
        <w:ind w:left="0" w:right="0" w:firstLine="576"/>
        <w:jc w:val="left"/>
      </w:pPr>
      <w:r>
        <w:rPr/>
        <w:t xml:space="preserve">(2) The multiple-unit housing must meet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The new, converted, or rehabilitated multiple-unit housing must provide for a minimum of fifty percent of the space for permanent residential occupancy. In the case of existing occupied multifamily development, the multifamily housing must also provide for a minimum of four additional multifamily units. Existing multifamily vacant housing that has been vacant for twelve months or more does not have to provide additional multifamily units;</w:t>
      </w:r>
    </w:p>
    <w:p>
      <w:pPr>
        <w:spacing w:before="0" w:after="0" w:line="408" w:lineRule="exact"/>
        <w:ind w:left="0" w:right="0" w:firstLine="576"/>
        <w:jc w:val="left"/>
      </w:pPr>
      <w:r>
        <w:rPr/>
        <w:t xml:space="preserve">(4) New construction multifamily housing and rehabilitation improvements must be completed within three years from the date of approval of the application</w:t>
      </w:r>
      <w:r>
        <w:rPr>
          <w:u w:val="single"/>
        </w:rPr>
        <w:t xml:space="preserve">, plus any extension authorized under RCW 84.14.090(5)</w:t>
      </w:r>
      <w:r>
        <w:rPr/>
        <w:t xml:space="preserve">;</w:t>
      </w:r>
    </w:p>
    <w:p>
      <w:pPr>
        <w:spacing w:before="0" w:after="0" w:line="408" w:lineRule="exact"/>
        <w:ind w:left="0" w:right="0" w:firstLine="576"/>
        <w:jc w:val="left"/>
      </w:pPr>
      <w:r>
        <w:rPr/>
        <w:t xml:space="preserve">(5) Property proposed to be rehabilitated must fail to comply with one or more standards of the applicable state or local building or housing codes on or after July 23, 1995. If the property proposed to be rehabilitated is not vacant, an applicant must provide each existing tenant housing of comparable size, quality, and price and a reasonable opportunity to relocate; and</w:t>
      </w:r>
    </w:p>
    <w:p>
      <w:pPr>
        <w:spacing w:before="0" w:after="0" w:line="408" w:lineRule="exact"/>
        <w:ind w:left="0" w:right="0" w:firstLine="576"/>
        <w:jc w:val="left"/>
      </w:pPr>
      <w:r>
        <w:rPr/>
        <w:t xml:space="preserve">(6) The applicant must enter into a contract with the city or county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090</w:t>
      </w:r>
      <w:r>
        <w:rPr/>
        <w:t xml:space="preserve"> and 2012 c 194 s 8 are each amended to read as follows:</w:t>
      </w:r>
    </w:p>
    <w:p>
      <w:pPr>
        <w:spacing w:before="0" w:after="0" w:line="408" w:lineRule="exact"/>
        <w:ind w:left="0" w:right="0" w:firstLine="576"/>
        <w:jc w:val="left"/>
      </w:pPr>
      <w:r>
        <w:rPr/>
        <w:t xml:space="preserve">(1) Upon completion of rehabilitation or new construction for which an application for a limited tax exemption under this chapter has been approved and after issuance of the certificate of occupancy, the owner must file with the city or county the following:</w:t>
      </w:r>
    </w:p>
    <w:p>
      <w:pPr>
        <w:spacing w:before="0" w:after="0" w:line="408" w:lineRule="exact"/>
        <w:ind w:left="0" w:right="0" w:firstLine="576"/>
        <w:jc w:val="left"/>
      </w:pPr>
      <w:r>
        <w:rPr/>
        <w:t xml:space="preserve">(a) A statement of the amount of rehabilitation or construction expenditures made with respect to each housing unit and the composite expenditures made in the rehabilitation or construction of the entire property;</w:t>
      </w:r>
    </w:p>
    <w:p>
      <w:pPr>
        <w:spacing w:before="0" w:after="0" w:line="408" w:lineRule="exact"/>
        <w:ind w:left="0" w:right="0" w:firstLine="576"/>
        <w:jc w:val="left"/>
      </w:pPr>
      <w:r>
        <w:rPr/>
        <w:t xml:space="preserve">(b)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(c) If applicable, a statement that the project meets the affordable housing requirements as described in RCW 84.14.020; and</w:t>
      </w:r>
    </w:p>
    <w:p>
      <w:pPr>
        <w:spacing w:before="0" w:after="0" w:line="408" w:lineRule="exact"/>
        <w:ind w:left="0" w:right="0" w:firstLine="576"/>
        <w:jc w:val="left"/>
      </w:pPr>
      <w:r>
        <w:rPr/>
        <w:t xml:space="preserve">(d)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or county must determine whether the work completed, and the affordability of the units, is consistent with the application and the contract approved by the city or county and is qualified for a limited tax exemption under this chapter. The city or county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or county determines that improvements were constructed consistent with the application and other applicable requirements, including if applicable, affordable housing requirements, and the owner's property is qualified for a limited tax exemption under this chapter, the city or county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or county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affordable housing requirements as described in RCW 84.14.020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multiple-unit housing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 </w:t>
      </w:r>
      <w:r>
        <w:rPr>
          <w:u w:val="single"/>
        </w:rPr>
        <w:t xml:space="preserve">For preliminary or final applications submitted on or before February 15, 2020, with any outstanding application requirements, such as obtaining a temporary certificate of occupancy, the city or county may choose to extend the deadline for completion for an additional five years. The five-year extension begins immediately following the completion of any outstanding applications or previously authorized extensions, whichever is later.</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2e45d680fffe48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4a49173d2c44e4" /><Relationship Type="http://schemas.openxmlformats.org/officeDocument/2006/relationships/footer" Target="/word/footer1.xml" Id="R2e45d680fffe484a" /></Relationships>
</file>