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a36da612a87407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5431</w:t>
      </w:r>
    </w:p>
    <w:p>
      <w:pPr>
        <w:jc w:val="center"/>
        <w:spacing w:before="480" w:after="0" w:line="240"/>
      </w:pPr>
      <w:r>
        <w:t xml:space="preserve">Chapter </w:t>
      </w:r>
      <w:r>
        <w:rPr/>
        <w:t xml:space="preserve">108</w:t>
      </w:r>
      <w:r>
        <w:t xml:space="preserve">, Laws of 2021</w:t>
      </w:r>
    </w:p>
    <w:p>
      <w:pPr>
        <w:jc w:val="center"/>
        <w:spacing w:before="360" w:after="0" w:line="240"/>
      </w:pPr>
      <w:r>
        <w:t>67th Legislature</w:t>
      </w:r>
    </w:p>
    <w:p>
      <w:pPr>
        <w:jc w:val="center"/>
      </w:pPr>
      <w:r>
        <w:t>2021 Regular Session</w:t>
      </w:r>
    </w:p>
    <w:p>
      <w:pPr>
        <w:jc w:val="center"/>
        <w:spacing w:before="480" w:after="0" w:line="240"/>
      </w:pPr>
      <w:r>
        <w:rPr/>
        <w:t xml:space="preserve">ROSA FRANKLIN LEGISLATIVE INTERNSHIP PROGRAM SCHOLARSHIP</w:t>
      </w:r>
    </w:p>
    <w:p>
      <w:pPr>
        <w:spacing w:before="720" w:after="240" w:line="240" w:lineRule="exact"/>
        <w:ind w:left="0" w:right="0" w:firstLine="0"/>
        <w:jc w:val="center"/>
      </w:pPr>
      <w:r>
        <w:t xml:space="preserve">EFFECTIVE DATE: </w:t>
      </w:r>
      <w:r>
        <w:rPr/>
        <w:t xml:space="preserve">July 25, 2021</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26, 2021</w:t>
            </w:r>
          </w:p>
          <w:p>
            <w:pPr>
              <w:ind w:left="0" w:right="0" w:firstLine="360"/>
            </w:pPr>
            <w:r>
              <w:t xml:space="preserve">Yeas </w:t>
              <w:t xml:space="preserve">47</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5, 2021</w:t>
            </w:r>
          </w:p>
          <w:p>
            <w:pPr>
              <w:ind w:left="0" w:right="0" w:firstLine="360"/>
            </w:pPr>
            <w:r>
              <w:t xml:space="preserve">Yeas </w:t>
              <w:t xml:space="preserve">95</w:t>
            </w:r>
            <w:r>
              <w:t xml:space="preserve">  Nays </w:t>
              <w:t xml:space="preserve">3</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5431</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16, 2021 11:03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16, 2021</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5431</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Senators Randall, Nobles, Cleveland, Conway, Das, Dhingra, Frockt, Hasegawa, Keiser, Hunt, Honeyford, Holy, Liias, Lovelett, Nguyen, Padden, Robinson, Stanford, and Wilson, C.</w:t>
      </w:r>
    </w:p>
    <w:p/>
    <w:p>
      <w:r>
        <w:rPr>
          <w:t xml:space="preserve">Read first time 02/08/21.  </w:t>
        </w:rPr>
      </w:r>
      <w:r>
        <w:rPr>
          <w:t xml:space="preserve">Referred to Committee on Higher Education &amp; Workforce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the Rosa Franklin legislative internship program scholarship; amending RCW 43.79A.040; adding new sections to chapter 44.04 RCW; and adding a new section to chapter 42.52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44</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The secretary of the senate and the chief clerk of the house of representatives may administer and conduct the Rosa Franklin legislative internship program scholarship to provide resources for Washington students who participate in the legislative internship program of the senate and house of representatives. The scholarship program should provide assistance to students, based on financial need, who are accepted as legislative interns. The program is called the Rosa Franklin legislative internship program scholarship.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44</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The secretary of the senate and the chief clerk of the house of representatives may solicit and accept gifts, grants, conveyances, bequests, and devises of real or personal property, or both, in trust or otherwise, and sell, lease, exchange, or expend these donations or the proceeds, rents, profits, and income from the donations except as limited by the donor's terms. Any legislative member or legislative employee may solicit the same types of contributions for the secretary of the senate and the chief clerk of the house of representatives.</w:t>
      </w:r>
    </w:p>
    <w:p>
      <w:pPr>
        <w:spacing w:before="0" w:after="0" w:line="408" w:lineRule="exact"/>
        <w:ind w:left="0" w:right="0" w:firstLine="576"/>
        <w:jc w:val="left"/>
      </w:pPr>
      <w:r>
        <w:rPr/>
        <w:t xml:space="preserve">(2) Moneys received under this section may be used only for establishing and operating the Rosa Franklin legislative internship program scholarship authorized in section 1 of this act.</w:t>
      </w:r>
    </w:p>
    <w:p>
      <w:pPr>
        <w:spacing w:before="0" w:after="0" w:line="408" w:lineRule="exact"/>
        <w:ind w:left="0" w:right="0" w:firstLine="576"/>
        <w:jc w:val="left"/>
      </w:pPr>
      <w:r>
        <w:rPr/>
        <w:t xml:space="preserve">(3) Moneys received under this section must be deposited in the legislative internship program scholarship account established in section 3 of this act.</w:t>
      </w:r>
    </w:p>
    <w:p>
      <w:pPr>
        <w:spacing w:before="0" w:after="0" w:line="408" w:lineRule="exact"/>
        <w:ind w:left="0" w:right="0" w:firstLine="576"/>
        <w:jc w:val="left"/>
      </w:pPr>
      <w:r>
        <w:rPr/>
        <w:t xml:space="preserve">(4) The secretary of the senate and the chief clerk of the house of representatives must adopt joint rules to govern and protect the receipt and expenditure of the proceeds.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44</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The Rosa Franklin legislative internship program scholarship account is created in the custody of the state treasurer. All moneys received under section 2 of this act must be deposited in the account. Expenditures from the account may be made only for the purposes of the Rosa Franklin legislative internship program scholarship created in section 1 of this act. Only the secretary of the senate or the chief clerk of the house of representatives or their designee may authorize expenditures from the account. An appropriation is not required for expenditures, but the account is subject to allotment procedures under chapter 43.88 RCW.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This chapter does not prohibit the secretary of the senate, the chief clerk of the house of representatives, or their designee from soliciting and accepting contributions to the Rosa Franklin legislative internship program scholarship account created in section 3 of this act. Furthermore, this chapter does not prohibit any legislative member or legislative employee from soliciting gifts for the Rosa Franklin legislative internship program scholarship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2020 c 18 s 2 are each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24/7 sobriety account, the Washington promise scholarship account, the Gina Grant Bull memorial legislative page scholarship account, </w:t>
      </w:r>
      <w:r>
        <w:rPr>
          <w:u w:val="single"/>
        </w:rPr>
        <w:t xml:space="preserve">the Rosa Franklin legislative internship program scholarship,</w:t>
      </w:r>
      <w:r>
        <w:rPr/>
        <w:t xml:space="preserve"> the Washington advanced college tuition payment program account, the Washington college savings program account, the accessible communities account, the Washington achieving a better life experience program account, the community and technical college innovation account, the agricultural local fund, the American Indian scholarship endowment fund, the foster care scholarship endowment fund, the foster care endowed scholarship trust fund, the contract harvesting revolving account, the Washington state combined fund drive account, the commemorative works account, the county enhanced 911 excise tax account, the county road administration board emergency loan account, the toll collection account, the developmental disabilities endowment trust fund, the energy account, the fair fund, the family and medical leave insurance account, the fish and wildlife federal lands revolving account, the natural resources federal lands revolving account, the food animal veterinarian conditional scholarship account, the forest health revolving account, the fruit and vegetable inspection account, the educator conditional scholarship account, the game farm alternative account, the GET ready for math and science scholarship account, the Washington global health technologies and product development account, the grain inspection revolving fund, the Washington history day account, the industrial insurance rainy day fund, the juvenile accountability incentive account, the law enforcement officers' and firefighters' plan 2 expense fund, the local tourism promotion account, the low-income home rehabilitation revolving loan program account, the multiagency permitting team account, the northeast Washington wolf-livestock management account, the produce railcar pool account, the regional transportation investment district account, the rural rehabilitation account, the Washington sexual assault kit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library-archives building account, the reduced cigarette ignition propensity account, the center for deaf and hard of hearing youth account, the school for the blind account, the Millersylvania park trust fund, the public employees' and retirees' insurance reserve fund, the school employees' benefits board insurance reserve fund, the public employees' and retirees' insurance account, the school employees' insurance account, the long-term services and supports trust account, the radiation perpetual maintenance fund, the Indian health improvement reinvestment account, the department of licensing tuition recovery trust fund, the student achievement council tuition recovery trust fund, the tuition recovery trust fund, the industrial insurance premium refund account, the mobile home park relocation fund, the natural resources deposit fund, the Washington state health insurance pool account, the federal forest revolving account, and the library operations account.</w:t>
      </w:r>
    </w:p>
    <w:p>
      <w:pPr>
        <w:spacing w:before="0" w:after="0" w:line="408" w:lineRule="exact"/>
        <w:ind w:left="0" w:right="0" w:firstLine="576"/>
        <w:jc w:val="left"/>
      </w:pPr>
      <w:r>
        <w:rPr/>
        <w:t xml:space="preserve">(c) The following accounts and funds must receive eighty percent of their proportionate share of earnings based upon each account's or fund's average daily balance for the period: The advance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26, 2021.</w:t>
      </w:r>
    </w:p>
    <w:p>
      <w:pPr>
        <w:spacing w:before="0" w:after="0" w:line="408" w:lineRule="exact"/>
        <w:ind w:left="0" w:right="0" w:firstLine="576"/>
        <w:jc w:val="left"/>
      </w:pPr>
      <w:r>
        <w:rPr/>
        <w:t xml:space="preserve">Passed by the House April 5, 2021.</w:t>
      </w:r>
    </w:p>
    <w:p>
      <w:pPr>
        <w:spacing w:before="0" w:after="0" w:line="408" w:lineRule="exact"/>
        <w:ind w:left="0" w:right="0" w:firstLine="576"/>
        <w:jc w:val="left"/>
      </w:pPr>
      <w:r>
        <w:rPr/>
        <w:t xml:space="preserve">Approved by the Governor April 16, 2021.</w:t>
      </w:r>
    </w:p>
    <w:p>
      <w:pPr>
        <w:spacing w:before="0" w:after="0" w:line="408" w:lineRule="exact"/>
        <w:ind w:left="0" w:right="0" w:firstLine="576"/>
        <w:jc w:val="left"/>
      </w:pPr>
      <w:r>
        <w:rPr/>
        <w:t xml:space="preserve">Filed in Office of Secretary of State April 16, 2021.</w:t>
      </w:r>
    </w:p>
    <w:sectPr>
      <w:pgNumType w:start="1"/>
      <w:footerReference xmlns:r="http://schemas.openxmlformats.org/officeDocument/2006/relationships" r:id="R7661f3ddfad04d81"/>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5431.SL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b6af14dab1a48ce" /><Relationship Type="http://schemas.openxmlformats.org/officeDocument/2006/relationships/footer" Target="/word/footer1.xml" Id="R7661f3ddfad04d81" /></Relationships>
</file>