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e796cbf5c445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5488</w:t>
      </w:r>
    </w:p>
    <w:p>
      <w:pPr>
        <w:jc w:val="center"/>
        <w:spacing w:before="480" w:after="0" w:line="240"/>
      </w:pPr>
      <w:r>
        <w:t xml:space="preserve">Chapter </w:t>
      </w:r>
      <w:r>
        <w:rPr/>
        <w:t xml:space="preserve">223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TACOMA NARROWS BRIDGE—FINANCIAL OBLIGATIONS—TOLL REDUCTION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Randall, Rolfes, Billig, Dhingra, Nobles, Van De Wege,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contributions in support of the Tacoma Narrows toll bridge; and amending RCW 47.56.165, 47.46.190, and 47.46.200.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w:t>
      </w:r>
      <w:r>
        <w:t>((</w:t>
      </w:r>
      <w:r>
        <w:rPr>
          <w:strike/>
        </w:rPr>
        <w:t xml:space="preserve">and</w:t>
      </w:r>
      <w:r>
        <w:t>))</w:t>
      </w:r>
    </w:p>
    <w:p>
      <w:pPr>
        <w:spacing w:before="0" w:after="0" w:line="408" w:lineRule="exact"/>
        <w:ind w:left="0" w:right="0" w:firstLine="576"/>
        <w:jc w:val="left"/>
      </w:pPr>
      <w:r>
        <w:rPr/>
        <w:t xml:space="preserve">(e) All liquidated damages collected under any contract involving the construction of the second Tacoma Narrows bridge</w:t>
      </w:r>
      <w:r>
        <w:rPr>
          <w:u w:val="single"/>
        </w:rPr>
        <w:t xml:space="preserve">; and</w:t>
      </w:r>
    </w:p>
    <w:p>
      <w:pPr>
        <w:spacing w:before="0" w:after="0" w:line="408" w:lineRule="exact"/>
        <w:ind w:left="0" w:right="0" w:firstLine="576"/>
        <w:jc w:val="left"/>
      </w:pPr>
      <w:r>
        <w:rPr>
          <w:u w:val="single"/>
        </w:rPr>
        <w:t xml:space="preserve">(f) Beginning with September 2022 and ending July 1, 2032, by the last day of September, December, March, and June of each year, the state treasurer shall transfer from the general fund to the account the sum of $3,250,000. The total amount that may be transferred pursuant to this subsection is $130,000,000</w:t>
      </w:r>
      <w:r>
        <w:rPr/>
        <w:t xml:space="preserv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w:t>
      </w:r>
      <w:r>
        <w:t>((</w:t>
      </w:r>
      <w:r>
        <w:rPr>
          <w:strike/>
        </w:rPr>
        <w:t xml:space="preserve">ninety-nine</w:t>
      </w:r>
      <w:r>
        <w:t>))</w:t>
      </w:r>
      <w:r>
        <w:rPr/>
        <w:t xml:space="preserve"> </w:t>
      </w:r>
      <w:r>
        <w:rPr>
          <w:u w:val="single"/>
        </w:rPr>
        <w:t xml:space="preserve">99</w:t>
      </w:r>
      <w:r>
        <w:rPr/>
        <w:t xml:space="preserve"> percent of bridge construction costs, as well as the associated interest payments and other associated debt service costs. This is not the standard more recently utilized by the legislature, as is the case of the state route 520 bridge's construction, </w:t>
      </w:r>
      <w:r>
        <w:t>((</w:t>
      </w:r>
      <w:r>
        <w:rPr>
          <w:strike/>
        </w:rPr>
        <w:t xml:space="preserve">seventy-two</w:t>
      </w:r>
      <w:r>
        <w:t>))</w:t>
      </w:r>
      <w:r>
        <w:rPr/>
        <w:t xml:space="preserve"> </w:t>
      </w:r>
      <w:r>
        <w:rPr>
          <w:u w:val="single"/>
        </w:rPr>
        <w:t xml:space="preserve">72</w:t>
      </w:r>
      <w:r>
        <w:rPr/>
        <w:t xml:space="preserve">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w:t>
      </w:r>
      <w:r>
        <w:t>((</w:t>
      </w:r>
      <w:r>
        <w:rPr>
          <w:strike/>
        </w:rPr>
        <w:t xml:space="preserve">one hundred twenty-five million dollars</w:t>
      </w:r>
      <w:r>
        <w:t>))</w:t>
      </w:r>
      <w:r>
        <w:rPr/>
        <w:t xml:space="preserve"> </w:t>
      </w:r>
      <w:r>
        <w:rPr>
          <w:u w:val="single"/>
        </w:rPr>
        <w:t xml:space="preserve">$125,000,000</w:t>
      </w:r>
      <w:r>
        <w:rPr/>
        <w:t xml:space="preserve">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w:t>
      </w:r>
      <w:r>
        <w:t>((</w:t>
      </w:r>
      <w:r>
        <w:rPr>
          <w:strike/>
        </w:rPr>
        <w:t xml:space="preserve">eighty-five million dollars</w:t>
      </w:r>
      <w:r>
        <w:t>))</w:t>
      </w:r>
      <w:r>
        <w:rPr/>
        <w:t xml:space="preserve"> </w:t>
      </w:r>
      <w:r>
        <w:rPr>
          <w:u w:val="single"/>
        </w:rPr>
        <w:t xml:space="preserve">$85,000,000</w:t>
      </w:r>
      <w:r>
        <w:rPr/>
        <w:t xml:space="preserve">, and will be repaid in annual amounts beginning after the debt service and deferred sales tax are fully repaid. It is the intent of the legislature that the commission will</w:t>
      </w:r>
      <w:r>
        <w:t>((</w:t>
      </w:r>
      <w:r>
        <w:rPr>
          <w:strike/>
        </w:rPr>
        <w:t xml:space="preserve">:</w:t>
      </w:r>
    </w:p>
    <w:p>
      <w:pPr>
        <w:spacing w:before="0" w:after="0" w:line="408" w:lineRule="exact"/>
        <w:ind w:left="0" w:right="0" w:firstLine="576"/>
        <w:jc w:val="left"/>
      </w:pPr>
      <w:r>
        <w:rPr>
          <w:strike/>
        </w:rPr>
        <w:t xml:space="preserve">(a) Maintain tolls at no more than toll rates effective at the fiscal year 2018 level until fiscal year 2022; and</w:t>
      </w:r>
    </w:p>
    <w:p>
      <w:pPr>
        <w:spacing w:before="0" w:after="0" w:line="408" w:lineRule="exact"/>
        <w:ind w:left="0" w:right="0" w:firstLine="576"/>
        <w:jc w:val="left"/>
      </w:pPr>
      <w:r>
        <w:rPr>
          <w:strike/>
        </w:rPr>
        <w:t xml:space="preserve">(b) Maintain tolls at no more than twenty-five cents higher than the toll rates effective at the fiscal year 2018 level beginning in fiscal year 2022</w:t>
      </w:r>
      <w:r>
        <w:t>))</w:t>
      </w:r>
      <w:r>
        <w:rPr/>
        <w:t xml:space="preserve"> </w:t>
      </w:r>
      <w:r>
        <w:rPr>
          <w:u w:val="single"/>
        </w:rPr>
        <w:t xml:space="preserve">adjust tolls accordingly, in consideration of annual contributions from nontoll sources and the costs required to be covered under RCW 47.46.100,</w:t>
      </w:r>
      <w:r>
        <w:rPr/>
        <w:t xml:space="preserve"> until such time as the debt service and deferred sales tax obligation is fully met according to the repayment schedule in place as of June 7, 2018,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w:t>
      </w:r>
      <w:r>
        <w:t>((</w:t>
      </w:r>
      <w:r>
        <w:rPr>
          <w:strike/>
        </w:rPr>
        <w:t xml:space="preserve">tolls at no more than twenty-five cents higher than the toll rates effective at the fiscal year 2018 level, while also maintaining</w:t>
      </w:r>
      <w:r>
        <w:t>))</w:t>
      </w:r>
      <w:r>
        <w:rPr/>
        <w:t xml:space="preserve"> the debt service plan repayment schedule in place as of June 7, 2018.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t>
      </w:r>
      <w:r>
        <w:t>((</w:t>
      </w:r>
      <w:r>
        <w:rPr>
          <w:strike/>
        </w:rPr>
        <w:t xml:space="preserve">while maintaining tolls at no more than twenty-five cents higher than the toll rates effective at the fiscal year 2018 level</w:t>
      </w:r>
      <w:r>
        <w:t>))</w:t>
      </w:r>
      <w:r>
        <w:rPr/>
        <w:t xml:space="preserve">. The report must be submitted by January 5th of each year.</w:t>
      </w:r>
    </w:p>
    <w:p>
      <w:pPr>
        <w:spacing w:before="0" w:after="0" w:line="408" w:lineRule="exact"/>
        <w:ind w:left="0" w:right="0" w:firstLine="576"/>
        <w:jc w:val="left"/>
      </w:pPr>
      <w:r>
        <w:rPr/>
        <w:t xml:space="preserve">(3) This section does not create a private right of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8a4990eb672846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14ebdc1963471d" /><Relationship Type="http://schemas.openxmlformats.org/officeDocument/2006/relationships/footer" Target="/word/footer1.xml" Id="R8a4990eb672846cc" /></Relationships>
</file>