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1e86e49fb4c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5612</w:t>
      </w:r>
    </w:p>
    <w:p>
      <w:pPr>
        <w:jc w:val="center"/>
        <w:spacing w:before="480" w:after="0" w:line="240"/>
      </w:pPr>
      <w:r>
        <w:t xml:space="preserve">Chapter </w:t>
      </w:r>
      <w:r>
        <w:rPr/>
        <w:t xml:space="preserve">229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DOMESTIC VIOLENCE—VICTIM STATEMENTS AT SENTENCING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 Wilson, Warnick, Braun, Brown, Dhingra, Keiser, Lovick, Mullet, Rolfes, Short, Wagoner, and J. Wilson</w:t>
      </w:r>
    </w:p>
    <w:p/>
    <w:p>
      <w:r>
        <w:rPr>
          <w:t xml:space="preserve">Prefiled 12/29/21.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domestic violence victims and survivors of victims have the opportunity to make a statement during sentencing for all domestic violence convictions; and amending RCW 7.69.030.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2009 c 138 s 5 are each amended to read as follows:</w:t>
      </w:r>
    </w:p>
    <w:p>
      <w:pPr>
        <w:spacing w:before="0" w:after="0" w:line="408" w:lineRule="exact"/>
        <w:ind w:left="0" w:right="0" w:firstLine="576"/>
        <w:jc w:val="left"/>
      </w:pPr>
      <w:r>
        <w:rPr/>
        <w:t xml:space="preserve">There shall be a reasonable effort made to ensure that victims,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w:t>
      </w:r>
      <w:r>
        <w:rPr>
          <w:u w:val="single"/>
        </w:rPr>
        <w:t xml:space="preserve">in any felony case or any case involving domestic violence</w:t>
      </w:r>
      <w:r>
        <w:rPr/>
        <w:t xml:space="preserve">, to be informed by the prosecuting attorney of the date, time, and place of the trial and of the sentencing hearing </w:t>
      </w:r>
      <w:r>
        <w:t>((</w:t>
      </w:r>
      <w:r>
        <w:rPr>
          <w:strike/>
        </w:rPr>
        <w:t xml:space="preserve">for felony convictions</w:t>
      </w:r>
      <w:r>
        <w:t>))</w:t>
      </w:r>
      <w:r>
        <w:rPr/>
        <w:t xml:space="preserve">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w:t>
      </w:r>
      <w:r>
        <w:rPr>
          <w:u w:val="single"/>
        </w:rPr>
        <w:t xml:space="preserve">in any felony case or any case involving domestic violence</w:t>
      </w:r>
      <w:r>
        <w:rPr/>
        <w:t xml:space="preserve">, to present a statement</w:t>
      </w:r>
      <w:r>
        <w:rPr>
          <w:u w:val="single"/>
        </w:rPr>
        <w:t xml:space="preserve">,</w:t>
      </w:r>
      <w:r>
        <w:rPr/>
        <w:t xml:space="preserve"> personally or by representation, at the sentencing hearing </w:t>
      </w:r>
      <w:r>
        <w:t>((</w:t>
      </w:r>
      <w:r>
        <w:rPr>
          <w:strike/>
        </w:rPr>
        <w:t xml:space="preserve">for felony convictions</w:t>
      </w:r>
      <w:r>
        <w:t>))</w:t>
      </w:r>
      <w:r>
        <w:rPr/>
        <w:t xml:space="preserve">; and</w:t>
      </w:r>
    </w:p>
    <w:p>
      <w:pPr>
        <w:spacing w:before="0" w:after="0" w:line="408" w:lineRule="exact"/>
        <w:ind w:left="0" w:right="0" w:firstLine="576"/>
        <w:jc w:val="left"/>
      </w:pPr>
      <w:r>
        <w:rPr/>
        <w:t xml:space="preserve">(15)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e9d92c08702e49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724bc33f64263" /><Relationship Type="http://schemas.openxmlformats.org/officeDocument/2006/relationships/footer" Target="/word/footer1.xml" Id="Re9d92c08702e49a3" /></Relationships>
</file>