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27869aeea43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5616</w:t>
      </w:r>
    </w:p>
    <w:p>
      <w:pPr>
        <w:jc w:val="center"/>
        <w:spacing w:before="480" w:after="0" w:line="240"/>
      </w:pPr>
      <w:r>
        <w:t xml:space="preserve">Chapter </w:t>
      </w:r>
      <w:r>
        <w:rPr/>
        <w:t xml:space="preserve">157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ACCOUNTS AND FUNDS—VARIOUS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5616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 Rolfes; by request of Office of Financial Management)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43.330.767, 46.68.067, 38.52.105, 41.05.143, 41.06.280, 43.08.190, 43.09.475, 46.68.290, 71.24.580, 82.08.170, and 90.50A.090; reenacting and amending RCW 43.70.715, 43.155.050, 47.56.876, 79.105.150, and 82.14.310; reenacting and amending 2018 c 298 s 7008 (uncodified); reenacting RCW 43.79.550, 43.79.555, 43.79.557, and 28A.300.820; adding a new section to chapter 43.79 RCW; creating a new section; repealing RCW 43.60A.153 and 43.79.467;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767</w:t>
      </w:r>
      <w:r>
        <w:rPr/>
        <w:t xml:space="preserve"> and 2021 c 64 s 5 are each amended to read as follows:</w:t>
      </w:r>
    </w:p>
    <w:p>
      <w:pPr>
        <w:spacing w:before="0" w:after="0" w:line="408" w:lineRule="exact"/>
        <w:ind w:left="0" w:right="0" w:firstLine="576"/>
        <w:jc w:val="left"/>
      </w:pPr>
      <w:r>
        <w:rPr/>
        <w:t xml:space="preserve">(1) The manufacturing cluster acceleration </w:t>
      </w:r>
      <w:r>
        <w:t>((</w:t>
      </w:r>
      <w:r>
        <w:rPr>
          <w:strike/>
        </w:rPr>
        <w:t xml:space="preserve">subaccount is established in the economic development strategic reserve</w:t>
      </w:r>
      <w:r>
        <w:t>))</w:t>
      </w:r>
      <w:r>
        <w:rPr/>
        <w:t xml:space="preserve"> account </w:t>
      </w:r>
      <w:r>
        <w:rPr>
          <w:u w:val="single"/>
        </w:rPr>
        <w:t xml:space="preserve">is created in the state treasury</w:t>
      </w:r>
      <w:r>
        <w:rPr/>
        <w:t xml:space="preserve">. All receipts from appropriations made to the manufacturing cluster acceleration </w:t>
      </w:r>
      <w:r>
        <w:t>((</w:t>
      </w:r>
      <w:r>
        <w:rPr>
          <w:strike/>
        </w:rPr>
        <w:t xml:space="preserve">subaccount</w:t>
      </w:r>
      <w:r>
        <w:t>))</w:t>
      </w:r>
      <w:r>
        <w:rPr/>
        <w:t xml:space="preserve"> </w:t>
      </w:r>
      <w:r>
        <w:rPr>
          <w:u w:val="single"/>
        </w:rPr>
        <w:t xml:space="preserve">account</w:t>
      </w:r>
      <w:r>
        <w:rPr/>
        <w:t xml:space="preserve"> shall be deposited into the </w:t>
      </w:r>
      <w:r>
        <w:t>((</w:t>
      </w:r>
      <w:r>
        <w:rPr>
          <w:strike/>
        </w:rPr>
        <w:t xml:space="preserve">subaccount</w:t>
      </w:r>
      <w:r>
        <w:t>))</w:t>
      </w:r>
      <w:r>
        <w:rPr/>
        <w:t xml:space="preserve"> </w:t>
      </w:r>
      <w:r>
        <w:rPr>
          <w:u w:val="single"/>
        </w:rPr>
        <w:t xml:space="preserve">account. Moneys in the account may be spent only after appropriation</w:t>
      </w:r>
      <w:r>
        <w:rPr/>
        <w:t xml:space="preserve">.</w:t>
      </w:r>
    </w:p>
    <w:p>
      <w:pPr>
        <w:spacing w:before="0" w:after="0" w:line="408" w:lineRule="exact"/>
        <w:ind w:left="0" w:right="0" w:firstLine="576"/>
        <w:jc w:val="left"/>
      </w:pPr>
      <w:r>
        <w:rPr/>
        <w:t xml:space="preserve">(2) The department may make expenditures from the </w:t>
      </w:r>
      <w:r>
        <w:t>((</w:t>
      </w:r>
      <w:r>
        <w:rPr>
          <w:strike/>
        </w:rPr>
        <w:t xml:space="preserve">subaccount</w:t>
      </w:r>
      <w:r>
        <w:t>))</w:t>
      </w:r>
      <w:r>
        <w:rPr/>
        <w:t xml:space="preserve"> </w:t>
      </w:r>
      <w:r>
        <w:rPr>
          <w:u w:val="single"/>
        </w:rPr>
        <w:t xml:space="preserve">account</w:t>
      </w:r>
      <w:r>
        <w:rPr/>
        <w:t xml:space="preserve">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w:t>
      </w:r>
      <w:r>
        <w:t>((</w:t>
      </w:r>
      <w:r>
        <w:rPr>
          <w:strike/>
        </w:rPr>
        <w:t xml:space="preserve">[subaccount]</w:t>
      </w:r>
      <w:r>
        <w:t>))</w:t>
      </w:r>
      <w:r>
        <w:rPr/>
        <w:t xml:space="preserve"> and may utilize funds to match nonstate funds being expended on a specific project that aligns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2021 c 240 s 15 are each amended to read as follows:</w:t>
      </w:r>
    </w:p>
    <w:p>
      <w:pPr>
        <w:spacing w:before="0" w:after="0" w:line="408" w:lineRule="exact"/>
        <w:ind w:left="0" w:right="0" w:firstLine="576"/>
        <w:jc w:val="left"/>
      </w:pPr>
      <w:r>
        <w:rPr/>
        <w:t xml:space="preserve">The driver licensing technology support account is created </w:t>
      </w:r>
      <w:r>
        <w:t>((</w:t>
      </w:r>
      <w:r>
        <w:rPr>
          <w:strike/>
        </w:rPr>
        <w:t xml:space="preserve">as a subaccount</w:t>
      </w:r>
      <w:r>
        <w:t>))</w:t>
      </w:r>
      <w:r>
        <w:rPr/>
        <w:t xml:space="preserve"> in the highway safety fund under RCW 46.68.060. Moneys in the </w:t>
      </w:r>
      <w:r>
        <w:t>((</w:t>
      </w:r>
      <w:r>
        <w:rPr>
          <w:strike/>
        </w:rPr>
        <w:t xml:space="preserve">subaccount</w:t>
      </w:r>
      <w:r>
        <w:t>))</w:t>
      </w:r>
      <w:r>
        <w:rPr/>
        <w:t xml:space="preserve"> </w:t>
      </w:r>
      <w:r>
        <w:rPr>
          <w:u w:val="single"/>
        </w:rPr>
        <w:t xml:space="preserve">account</w:t>
      </w:r>
      <w:r>
        <w:rPr/>
        <w:t xml:space="preserve"> may be spent only after appropriation. Expenditures from the </w:t>
      </w:r>
      <w:r>
        <w:t>((</w:t>
      </w:r>
      <w:r>
        <w:rPr>
          <w:strike/>
        </w:rPr>
        <w:t xml:space="preserve">subaccount</w:t>
      </w:r>
      <w:r>
        <w:t>))</w:t>
      </w:r>
      <w:r>
        <w:rPr/>
        <w:t xml:space="preserve"> </w:t>
      </w:r>
      <w:r>
        <w:rPr>
          <w:u w:val="single"/>
        </w:rPr>
        <w:t xml:space="preserve">account</w:t>
      </w:r>
      <w:r>
        <w:rPr/>
        <w:t xml:space="preserve">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clean energy transition workforce account is created in the state treasury. Moneys in the account may be spent only after appropriation. Expenditures from the account may be used only to support workers who are affected by the state's transition away from fossil fuels to a clean energy economy and associated program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550</w:t>
      </w:r>
      <w:r>
        <w:rPr/>
        <w:t xml:space="preserve"> and 2021 c 334 s 958 are each reenacted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2021 c 334 s 1902 are each reenacted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557</w:t>
      </w:r>
      <w:r>
        <w:rPr/>
        <w:t xml:space="preserve"> and 2021 c 334 s 1903 are each reenacted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reenacted and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820</w:t>
      </w:r>
      <w:r>
        <w:rPr/>
        <w:t xml:space="preserve"> and 2021 c 334 s 1901 are each reenacted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7008</w:t>
      </w:r>
      <w:r>
        <w:rPr/>
        <w:t xml:space="preserve"> (uncodified) is reenacted and amended to read as follows:</w:t>
      </w:r>
    </w:p>
    <w:p>
      <w:pPr>
        <w:spacing w:before="0" w:after="0" w:line="408" w:lineRule="exact"/>
        <w:ind w:left="0" w:right="0" w:firstLine="576"/>
        <w:jc w:val="left"/>
      </w:pP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 </w:t>
      </w:r>
      <w:r>
        <w:rPr>
          <w:u w:val="single"/>
        </w:rPr>
        <w:t xml:space="preserve">Moneys in the account may also be appropriated and expended for loans, loan guarantees, and grants for projects that achieve reductions in greenhouse gas emissions for emissions-intensive, trade-exposed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w:t>
      </w:r>
      <w:r>
        <w:t>((</w:t>
      </w:r>
      <w:r>
        <w:rPr>
          <w:strike/>
        </w:rPr>
        <w:t xml:space="preserve">During the 2019-2021 and 2021-2023 fiscal biennia, expenditures</w:t>
      </w:r>
      <w:r>
        <w:t>))</w:t>
      </w:r>
      <w:r>
        <w:rPr/>
        <w:t xml:space="preserve"> </w:t>
      </w:r>
      <w:r>
        <w:rPr>
          <w:u w:val="single"/>
        </w:rPr>
        <w:t xml:space="preserve">Expenditures</w:t>
      </w:r>
      <w:r>
        <w:rPr/>
        <w:t xml:space="preserve"> from the disaster response account may be used for military department operations and to support wildland fire suppression preparedness, prevention, and restoration activities by state agencies and local governments. </w:t>
      </w:r>
      <w:r>
        <w:t>((</w:t>
      </w:r>
      <w:r>
        <w:rPr>
          <w:strike/>
        </w:rPr>
        <w:t xml:space="preserve">During the 2017-2019 and 2019-2021 fiscal biennia, the</w:t>
      </w:r>
      <w:r>
        <w:t>))</w:t>
      </w:r>
      <w:r>
        <w:rPr/>
        <w:t xml:space="preserve"> </w:t>
      </w:r>
      <w:r>
        <w:rPr>
          <w:u w:val="single"/>
        </w:rPr>
        <w:t xml:space="preserve">The</w:t>
      </w:r>
      <w:r>
        <w:rPr/>
        <w:t xml:space="preserve"> legislature may direct the treasurer to make transfers of moneys in the disaster response account to the state general fund. </w:t>
      </w:r>
      <w:r>
        <w:t>((</w:t>
      </w:r>
      <w:r>
        <w:rPr>
          <w:strike/>
        </w:rPr>
        <w:t xml:space="preserve">It is the intent of the legislature that these policies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2018 c 260 s 27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w:t>
      </w:r>
      <w:r>
        <w:t>((</w:t>
      </w:r>
      <w:r>
        <w:rPr>
          <w:strike/>
        </w:rPr>
        <w:t xml:space="preserve">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strike/>
        </w:rPr>
        <w:t xml:space="preserve">(5)</w:t>
      </w:r>
      <w:r>
        <w:t>))</w:t>
      </w:r>
      <w:r>
        <w:rPr/>
        <w:t xml:space="preserve"> The school employees' benefits board medical benefits administrative account is created in the custody of the state treasurer. Only the director or the director's designee may authorize expenditures from the account. Moneys in the account shall be used exclusively for school employees' benefits board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2021 c 334 s 964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w:t>
      </w:r>
      <w:r>
        <w:t>((</w:t>
      </w:r>
      <w:r>
        <w:rPr>
          <w:strike/>
        </w:rPr>
        <w:t xml:space="preserve">During the 2019-2021 and 2021-2023 fiscal biennia, the</w:t>
      </w:r>
      <w:r>
        <w:t>))</w:t>
      </w:r>
      <w:r>
        <w:rPr/>
        <w:t xml:space="preserve"> </w:t>
      </w:r>
      <w:r>
        <w:rPr>
          <w:u w:val="single"/>
        </w:rPr>
        <w:t xml:space="preserve">The</w:t>
      </w:r>
      <w:r>
        <w:rPr/>
        <w:t xml:space="preserve"> office of financial management may use the personnel service fund to administer an employee transit pass program </w:t>
      </w:r>
      <w:r>
        <w:rPr>
          <w:u w:val="single"/>
        </w:rPr>
        <w:t xml:space="preserve">and other employment benefits</w:t>
      </w:r>
      <w:r>
        <w:rPr/>
        <w:t xml:space="preserve">.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t>((</w:t>
      </w:r>
      <w:r>
        <w:rPr>
          <w:strik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2021 c 334 s 969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 in the state treasurer's service fund to the state general fund. </w:t>
      </w:r>
      <w:r>
        <w:t>((</w:t>
      </w:r>
      <w:r>
        <w:rPr>
          <w:strike/>
        </w:rPr>
        <w:t xml:space="preserve">It is the intent of the legislature that this policy will be continued in subsequent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2021 c 334 s 970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w:t>
      </w:r>
      <w:r>
        <w:t>((</w:t>
      </w:r>
      <w:r>
        <w:rPr>
          <w:strike/>
        </w:rPr>
        <w:t xml:space="preserve">During the 2019-2021 and 2021-2023 fiscal biennia, the</w:t>
      </w:r>
      <w:r>
        <w:t>))</w:t>
      </w:r>
      <w:r>
        <w:rPr/>
        <w:t xml:space="preserve"> </w:t>
      </w:r>
      <w:r>
        <w:rPr>
          <w:u w:val="single"/>
        </w:rPr>
        <w:t xml:space="preserve">The</w:t>
      </w:r>
      <w:r>
        <w:rPr/>
        <w:t xml:space="preserve"> performance audits of government account may be appropriated for the joint legislative audit and review committee, the legislative evaluation and accountability program committee, </w:t>
      </w:r>
      <w:r>
        <w:rPr>
          <w:u w:val="single"/>
        </w:rPr>
        <w:t xml:space="preserve">and for</w:t>
      </w:r>
      <w:r>
        <w:rPr/>
        <w:t xml:space="preserve"> the office of financial management</w:t>
      </w:r>
      <w:r>
        <w:rPr>
          <w:u w:val="single"/>
        </w:rPr>
        <w:t xml:space="preserve">'s</w:t>
      </w:r>
      <w:r>
        <w:t>((</w:t>
      </w:r>
      <w:r>
        <w:rPr>
          <w:strike/>
        </w:rPr>
        <w:t xml:space="preserve">,</w:t>
      </w:r>
      <w:r>
        <w:t>))</w:t>
      </w:r>
      <w:r>
        <w:rPr/>
        <w:t xml:space="preserve"> </w:t>
      </w:r>
      <w:r>
        <w:rPr>
          <w:u w:val="single"/>
        </w:rPr>
        <w:t xml:space="preserve">performance audit and compliance audit activities. During the 2019-2021 and 2021-2023 fiscal biennia, the performance audits of government account may be appropriated for</w:t>
      </w:r>
      <w:r>
        <w:rPr/>
        <w:t xml:space="preserve"> the superintendent of public instruction, the department of fish and wildlife,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w:t>
      </w:r>
      <w:r>
        <w:t>((</w:t>
      </w:r>
      <w:r>
        <w:rPr>
          <w:strike/>
        </w:rPr>
        <w:t xml:space="preserve">During the 2021-2023 fiscal biennium, the</w:t>
      </w:r>
      <w:r>
        <w:t>))</w:t>
      </w:r>
      <w:r>
        <w:rPr/>
        <w:t xml:space="preserve"> </w:t>
      </w:r>
      <w:r>
        <w:rPr>
          <w:u w:val="single"/>
        </w:rPr>
        <w:t xml:space="preserve">The</w:t>
      </w:r>
      <w:r>
        <w:rPr/>
        <w:t xml:space="preserv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2021 c 333 s 713 are each amended to read as follows:</w:t>
      </w:r>
    </w:p>
    <w:p>
      <w:pPr>
        <w:spacing w:before="0" w:after="0" w:line="408" w:lineRule="exact"/>
        <w:ind w:left="0" w:right="0" w:firstLine="576"/>
        <w:jc w:val="left"/>
      </w:pPr>
      <w:r>
        <w:rPr/>
        <w:t xml:space="preserve">(1) The transportation partnership account is hereby created in the </w:t>
      </w:r>
      <w:r>
        <w:t>((</w:t>
      </w:r>
      <w:r>
        <w:rPr>
          <w:strike/>
        </w:rPr>
        <w:t xml:space="preserve">state treasury</w:t>
      </w:r>
      <w:r>
        <w:t>))</w:t>
      </w:r>
      <w:r>
        <w:rPr/>
        <w:t xml:space="preserve"> </w:t>
      </w:r>
      <w:r>
        <w:rPr>
          <w:u w:val="single"/>
        </w:rPr>
        <w:t xml:space="preserve">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2019-2021 and 2021-2023 fiscal biennia, the legislature may direct the state treasurer to make transfers of moneys in the transportation partnership account to the connecting Washington account, the motor vehicle fund, the Tacoma Narrows toll bridge account,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2021 c 333 s 709 and 2021 c 136 s 1 are each reenacted and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w:t>
      </w:r>
      <w:r>
        <w:t>((</w:t>
      </w:r>
      <w:r>
        <w:rPr>
          <w:strike/>
        </w:rPr>
        <w:t xml:space="preserve">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w:t>
      </w:r>
      <w:r>
        <w:t>))</w:t>
      </w:r>
      <w:r>
        <w:rPr/>
        <w:t xml:space="preserve"> The legislature may direct the state treasurer to make transfers of moneys in the state route number 520 civil penalties account to the state route number 520 corridor account. During the 2021-2023 fiscal biennium,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w:t>
      </w:r>
      <w:r>
        <w:t>((</w:t>
      </w:r>
      <w:r>
        <w:rPr>
          <w:strike/>
        </w:rPr>
        <w:t xml:space="preserve">During the 2019-2021 and 2021-2023 fiscal biennia, the</w:t>
      </w:r>
      <w:r>
        <w:t>))</w:t>
      </w:r>
      <w:r>
        <w:rPr/>
        <w:t xml:space="preserve"> </w:t>
      </w:r>
      <w:r>
        <w:rPr>
          <w:u w:val="single"/>
        </w:rPr>
        <w:t xml:space="preserve">The</w:t>
      </w:r>
      <w:r>
        <w:rPr/>
        <w:t xml:space="preserv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2021 c 334 s 996 and 2021 c 209 s 16 are each reenacted and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w:t>
      </w:r>
      <w:r>
        <w:t>((</w:t>
      </w:r>
      <w:r>
        <w:rPr>
          <w:strike/>
        </w:rPr>
        <w:t xml:space="preserve">During the 2017-2019, 2019-2021, and 2021-2023 fiscal biennia, the</w:t>
      </w:r>
      <w:r>
        <w:t>))</w:t>
      </w:r>
      <w:r>
        <w:rPr/>
        <w:t xml:space="preserve"> </w:t>
      </w:r>
      <w:r>
        <w:rPr>
          <w:u w:val="single"/>
        </w:rPr>
        <w:t xml:space="preserve">The</w:t>
      </w:r>
      <w:r>
        <w:rPr/>
        <w:t xml:space="preserv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2021 c 334 s 998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w:t>
      </w:r>
      <w:r>
        <w:t>((</w:t>
      </w:r>
      <w:r>
        <w:rPr>
          <w:strike/>
        </w:rPr>
        <w:t xml:space="preserve">During the 2015-2017, 2019-2021, and 2021-2023 fiscal biennia, the</w:t>
      </w:r>
      <w:r>
        <w:t>))</w:t>
      </w:r>
      <w:r>
        <w:rPr/>
        <w:t xml:space="preserve"> </w:t>
      </w:r>
      <w:r>
        <w:rPr>
          <w:u w:val="single"/>
        </w:rPr>
        <w:t xml:space="preserve">The</w:t>
      </w:r>
      <w:r>
        <w:rPr/>
        <w:t xml:space="preserve"> liquor excise tax fund may be appropriated for the local government fiscal note program in the department of commerce. </w:t>
      </w:r>
      <w:r>
        <w:t>((</w:t>
      </w:r>
      <w:r>
        <w:rPr>
          <w:strike/>
        </w:rPr>
        <w:t xml:space="preserve">It is the intent of the legislature to continue this policy in the subsequent fiscal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2021 c 334 s 999 and 2021 c 296 s 2 are each reenacted and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 Future distributions must be based on the most recent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2017-2019 fiscal biennium, the sum of $153,000, and during the 2019-2021 and 2021-2023 fiscal biennia</w:t>
      </w:r>
      <w:r>
        <w:t>))</w:t>
      </w:r>
      <w:r>
        <w:rPr/>
        <w:t xml:space="preserve"> </w:t>
      </w:r>
      <w:r>
        <w:rPr>
          <w:u w:val="single"/>
        </w:rPr>
        <w:t xml:space="preserve">Each fiscal biennium</w:t>
      </w:r>
      <w:r>
        <w:rPr/>
        <w:t xml:space="preserve">, the sum of $510,000, may be appropriated for the Washington state patrol to provide investigative assistance and report services to assist local law enforcement agencies to prosecute criminals. </w:t>
      </w:r>
      <w:r>
        <w:t>((</w:t>
      </w:r>
      <w:r>
        <w:rPr>
          <w:strike/>
        </w:rPr>
        <w:t xml:space="preserve">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2021 c 334 s 1000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w:t>
      </w: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moneys in the water pollution control revolving administration account to the water pollution control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60A</w:t>
      </w:r>
      <w:r>
        <w:rPr/>
        <w:t xml:space="preserve">.</w:t>
      </w:r>
      <w:r>
        <w:t xml:space="preserve">153</w:t>
      </w:r>
      <w:r>
        <w:rPr/>
        <w:t xml:space="preserve"> (Veterans conservation corps account) and 2007 c 451 s 6; and</w:t>
      </w:r>
    </w:p>
    <w:p>
      <w:pPr>
        <w:spacing w:before="0" w:after="0" w:line="408" w:lineRule="exact"/>
        <w:ind w:left="0" w:right="0" w:firstLine="576"/>
        <w:jc w:val="left"/>
      </w:pPr>
      <w:r>
        <w:t>(2)</w:t>
      </w:r>
      <w:r>
        <w:rPr/>
        <w:t xml:space="preserve">RCW </w:t>
      </w:r>
      <w:r>
        <w:t xml:space="preserve">43</w:t>
      </w:r>
      <w:r>
        <w:rPr/>
        <w:t xml:space="preserve">.</w:t>
      </w:r>
      <w:r>
        <w:t xml:space="preserve">79</w:t>
      </w:r>
      <w:r>
        <w:rPr/>
        <w:t xml:space="preserve">.</w:t>
      </w:r>
      <w:r>
        <w:t xml:space="preserve">467</w:t>
      </w:r>
      <w:r>
        <w:rPr/>
        <w:t xml:space="preserve"> (Dedicated McCleary penalty account) and 2018 c 299 s 920.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special personnel litigation revolving account created in chapter 372, Laws of 2006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adc4935e1ef44a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47d48e9dc45d3" /><Relationship Type="http://schemas.openxmlformats.org/officeDocument/2006/relationships/footer" Target="/word/footer1.xml" Id="Radc4935e1ef44aa6" /></Relationships>
</file>