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fb4001155046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5799</w:t>
      </w:r>
    </w:p>
    <w:p>
      <w:pPr>
        <w:jc w:val="center"/>
        <w:spacing w:before="480" w:after="0" w:line="240"/>
      </w:pPr>
      <w:r>
        <w:t xml:space="preserve">Chapter </w:t>
      </w:r>
      <w:r>
        <w:rPr/>
        <w:t xml:space="preserve">170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HEALTH PROVIDER CLINICS AND AFFILIATED ORGANIZATIONS—WORKFORCE EDUCATION INVESTMENT SURCHARGE</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66</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Robinson and Lovick)</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application of the workforce education investment advanced computing surcharge to provider clinics and affiliated organizations; amending RCW 82.04.299;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w:t>
      </w:r>
      <w:r>
        <w:rPr>
          <w:u w:val="single"/>
        </w:rPr>
        <w:t xml:space="preserve">(a)</w:t>
      </w:r>
      <w:r>
        <w:rPr/>
        <w:t xml:space="preserve"> The workforce education investment surcharge under this section does not apply to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hospital as defined in RCW 70.41.020, including any hospital that comes within the scope of chapter 71.12 RCW if the hospital is also licensed under chapter 70.41 RCW</w:t>
      </w:r>
      <w:r>
        <w:rPr>
          <w:u w:val="single"/>
        </w:rPr>
        <w:t xml:space="preserve">; or</w:t>
      </w:r>
    </w:p>
    <w:p>
      <w:pPr>
        <w:spacing w:before="0" w:after="0" w:line="408" w:lineRule="exact"/>
        <w:ind w:left="0" w:right="0" w:firstLine="576"/>
        <w:jc w:val="left"/>
      </w:pPr>
      <w:r>
        <w:rPr>
          <w:u w:val="single"/>
        </w:rPr>
        <w:t xml:space="preserve">(ii) A provider clinic offering primary care, multispecialty and surgical services, including behavioral health services, and any affiliate of the provider clinic if the affiliate is an organization that offers health care services or provides administrative support for a provider clinic, or is an independent practice association or accountable care organization.</w:t>
      </w:r>
    </w:p>
    <w:p>
      <w:pPr>
        <w:spacing w:before="0" w:after="0" w:line="408" w:lineRule="exact"/>
        <w:ind w:left="0" w:right="0" w:firstLine="576"/>
        <w:jc w:val="left"/>
      </w:pPr>
      <w:r>
        <w:rPr>
          <w:u w:val="single"/>
        </w:rPr>
        <w:t xml:space="preserve">(b) The exemptions under this subsection (2) do not apply to amounts received by any member of an affiliated group other than the businesses described in (a) of this subsection.</w:t>
      </w:r>
    </w:p>
    <w:p>
      <w:pPr>
        <w:spacing w:before="0" w:after="0" w:line="408" w:lineRule="exact"/>
        <w:ind w:left="0" w:right="0" w:firstLine="576"/>
        <w:jc w:val="left"/>
      </w:pPr>
      <w:r>
        <w:rPr>
          <w:u w:val="single"/>
        </w:rPr>
        <w:t xml:space="preserve">(c) For purposes of the exemption in (a)(ii) of this subsection:</w:t>
      </w:r>
    </w:p>
    <w:p>
      <w:pPr>
        <w:spacing w:before="0" w:after="0" w:line="408" w:lineRule="exact"/>
        <w:ind w:left="0" w:right="0" w:firstLine="576"/>
        <w:jc w:val="left"/>
      </w:pPr>
      <w:r>
        <w:rPr>
          <w:u w:val="single"/>
        </w:rPr>
        <w:t xml:space="preserve">(i) "Health care services" means services offered by health care providers relating to the prevention, cure, or treatment of illness, injury, or disease.</w:t>
      </w:r>
    </w:p>
    <w:p>
      <w:pPr>
        <w:spacing w:before="0" w:after="0" w:line="408" w:lineRule="exact"/>
        <w:ind w:left="0" w:right="0" w:firstLine="576"/>
        <w:jc w:val="left"/>
      </w:pPr>
      <w:r>
        <w:rPr>
          <w:u w:val="single"/>
        </w:rPr>
        <w:t xml:space="preserve">(ii) "Primary care" means wellness and prevention services and the diagnosis and treatment of health conditions</w:t>
      </w:r>
      <w:r>
        <w:rPr/>
        <w:t xml:space="preserve">.</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ad125e0324664d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2cb00673dd4bbc" /><Relationship Type="http://schemas.openxmlformats.org/officeDocument/2006/relationships/footer" Target="/word/footer1.xml" Id="Rad125e0324664d3c" /></Relationships>
</file>