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bbc604fc646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5849</w:t>
      </w:r>
    </w:p>
    <w:p>
      <w:pPr>
        <w:jc w:val="center"/>
        <w:spacing w:before="480" w:after="0" w:line="240"/>
      </w:pPr>
      <w:r>
        <w:t xml:space="preserve">Chapter </w:t>
      </w:r>
      <w:r>
        <w:rPr/>
        <w:t xml:space="preserve">172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CERTAIN TAX INCENTIVES—MODIFICATION</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5849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5849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 Warnick</w:t>
      </w:r>
    </w:p>
    <w:p/>
    <w:p>
      <w:r>
        <w:rPr>
          <w:t xml:space="preserve">Read first time 01/13/22.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amending RCW 82.25.030 and 82.04.294;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2021 c 218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or town.</w:t>
      </w:r>
    </w:p>
    <w:p>
      <w:pPr>
        <w:spacing w:before="0" w:after="0" w:line="408" w:lineRule="exact"/>
        <w:ind w:left="0" w:right="0" w:firstLine="576"/>
        <w:jc w:val="left"/>
      </w:pPr>
      <w:r>
        <w:rPr/>
        <w:t xml:space="preserve">(2) "Family living wage job" means a job that offers health care benefits with a wage that is sufficient for raising a family. A family living wage job must have an average wage of $23 an hour or more, working 2,080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or county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10,000 square feet or larger, representing a minimum improvement valuation of $800,000 for uses categorized as "division D: manufacturing" or "division E: transportation (major groups 40-42, 45, or 47-48)" by the United States department of labor in the occupation safety and health administration's standard industrial classification manual, provided, a city may limit the tax exemption to manufacturing uses.</w:t>
      </w:r>
    </w:p>
    <w:p>
      <w:pPr>
        <w:spacing w:before="0" w:after="0" w:line="408" w:lineRule="exact"/>
        <w:ind w:left="0" w:right="0" w:firstLine="576"/>
        <w:jc w:val="left"/>
      </w:pPr>
      <w:r>
        <w:rPr/>
        <w:t xml:space="preserve">(6) "Lands zoned for industrial and manufacturing uses" means lands in a city zoned </w:t>
      </w:r>
      <w:r>
        <w:t>((</w:t>
      </w:r>
      <w:r>
        <w:rPr>
          <w:strike/>
        </w:rPr>
        <w:t xml:space="preserve">as of December 31, 2014,</w:t>
      </w:r>
      <w:r>
        <w:t>))</w:t>
      </w:r>
      <w:r>
        <w:rPr/>
        <w:t xml:space="preserve">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(6) This section expires July 1, </w:t>
      </w:r>
      <w:r>
        <w:t>((</w:t>
      </w:r>
      <w:r>
        <w:rPr>
          <w:strike/>
        </w:rPr>
        <w:t xml:space="preserve">2027</w:t>
      </w:r>
      <w:r>
        <w:t>))</w:t>
      </w:r>
      <w:r>
        <w:rPr/>
        <w:t xml:space="preserve"> </w:t>
      </w:r>
      <w:r>
        <w:rPr>
          <w:u w:val="single"/>
        </w:rPr>
        <w:t xml:space="preserve">2032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five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2019, and that at least 60 percent of employees earn $60,000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0888d08507674f0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8d40a7e5e4680" /><Relationship Type="http://schemas.openxmlformats.org/officeDocument/2006/relationships/footer" Target="/word/footer1.xml" Id="R0888d08507674f0a" /></Relationships>
</file>