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adfb6f59e412d"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ORCU</w:t>
        </w:r>
      </w:r>
      <w:r>
        <w:rPr>
          <w:b/>
        </w:rPr>
        <w:t xml:space="preserve"> </w:t>
        <w:r>
          <w:rPr/>
          <w:t xml:space="preserve">H1584.1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205</w:t>
      </w:r>
    </w:p>
    <w:p>
      <w:pPr>
        <w:spacing w:before="0" w:after="0" w:line="408" w:lineRule="exact"/>
        <w:ind w:left="0" w:right="0" w:firstLine="576"/>
        <w:jc w:val="left"/>
      </w:pPr>
      <w:r>
        <w:rPr/>
        <w:t xml:space="preserve">By Representative Orcutt</w:t>
      </w:r>
    </w:p>
    <w:p>
      <w:pPr>
        <w:jc w:val="right"/>
      </w:pPr>
      <w:r>
        <w:rPr>
          <w:b/>
        </w:rPr>
        <w:t xml:space="preserve">NOT CONSIDERED 01/02/2024</w:t>
      </w:r>
    </w:p>
    <w:p>
      <w:pPr>
        <w:spacing w:before="0" w:after="0" w:line="408" w:lineRule="exact"/>
        <w:ind w:left="0" w:right="0" w:firstLine="576"/>
        <w:jc w:val="left"/>
      </w:pPr>
      <w:r>
        <w:rPr/>
        <w:t xml:space="preserve">On page 119,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323</w:instrText>
      </w:r>
      <w:r/>
      <w:r>
        <w:rPr>
          <w:b/>
        </w:rPr>
        <w:fldChar w:fldCharType="end"/>
      </w:r>
      <w:r>
        <w:t xml:space="preserve">  </w:t>
      </w:r>
      <w:r>
        <w:rPr/>
        <w:t xml:space="preserve">The secretary of state shall submit sections 301 through 322 of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referendum clause to the option for producer responsibility organization participation requirements to be satisfied by the establishment of a deposit return system for qualifying beverage containers.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035e2530b40e5" /></Relationships>
</file>