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924017" w14:paraId="5651370A" w14:textId="61C36D9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04DE7">
            <w:t>1181-S2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04DE7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04DE7">
            <w:t>JACO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04DE7">
            <w:t>ALLI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>
            <w:t>308</w:t>
          </w:r>
        </w:sdtContent>
      </w:sdt>
    </w:p>
    <w:p w:rsidR="00DF5D0E" w:rsidP="00B73E0A" w:rsidRDefault="00AA1230" w14:paraId="04B94BDC" w14:textId="77BA3CD3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924017" w14:paraId="539FE680" w14:textId="34A91D5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04DE7">
            <w:rPr>
              <w:b/>
              <w:u w:val="single"/>
            </w:rPr>
            <w:t>2SHB 1181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04DE7">
            <w:t xml:space="preserve">H AMD TO H AMD (H-1596.1/23) 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172</w:t>
          </w:r>
        </w:sdtContent>
      </w:sdt>
    </w:p>
    <w:p w:rsidR="00DF5D0E" w:rsidP="00605C39" w:rsidRDefault="00924017" w14:paraId="385AA374" w14:textId="06419BC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04DE7">
            <w:rPr>
              <w:sz w:val="22"/>
            </w:rPr>
            <w:t>By Representative Jacobsen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04DE7" w14:paraId="083D62A6" w14:textId="6843DF8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03/03/2023</w:t>
          </w:r>
        </w:p>
      </w:sdtContent>
    </w:sdt>
    <w:p w:rsidRPr="001F6D21" w:rsidR="00523F3A" w:rsidP="00523F3A" w:rsidRDefault="00DE256E" w14:paraId="07A680BA" w14:textId="77777777">
      <w:pPr>
        <w:pStyle w:val="Page"/>
        <w:rPr>
          <w:u w:val="single"/>
        </w:rPr>
      </w:pPr>
      <w:bookmarkStart w:name="StartOfAmendmentBody" w:id="0"/>
      <w:bookmarkEnd w:id="0"/>
      <w:permStart w:edGrp="everyone" w:id="1461147101"/>
      <w:r>
        <w:tab/>
      </w:r>
      <w:r w:rsidR="00304DE7">
        <w:t xml:space="preserve">On page </w:t>
      </w:r>
      <w:r w:rsidR="00523F3A">
        <w:t>29, beginning on line 10 of the striking amendment, after "</w:t>
      </w:r>
      <w:r w:rsidR="00523F3A">
        <w:rPr>
          <w:u w:val="single"/>
        </w:rPr>
        <w:t>(8)</w:t>
      </w:r>
      <w:r w:rsidR="00523F3A">
        <w:t>" strike all material through "</w:t>
      </w:r>
      <w:r w:rsidR="00523F3A">
        <w:rPr>
          <w:u w:val="single"/>
        </w:rPr>
        <w:t>creates</w:t>
      </w:r>
      <w:r w:rsidR="00523F3A">
        <w:t xml:space="preserve">" on line 15 and insert </w:t>
      </w:r>
      <w:r w:rsidRPr="001F6D21" w:rsidR="00523F3A">
        <w:t>"</w:t>
      </w:r>
      <w:r w:rsidRPr="001F6D21" w:rsidR="00523F3A">
        <w:rPr>
          <w:u w:val="single"/>
        </w:rPr>
        <w:t>(</w:t>
      </w:r>
      <w:r w:rsidR="00523F3A">
        <w:rPr>
          <w:u w:val="single"/>
        </w:rPr>
        <w:t>a</w:t>
      </w:r>
      <w:r w:rsidRPr="001F6D21" w:rsidR="00523F3A">
        <w:rPr>
          <w:u w:val="single"/>
        </w:rPr>
        <w:t>) A task force comprised of five county commissioners and five city commissioners from different counties</w:t>
      </w:r>
      <w:r w:rsidR="00523F3A">
        <w:rPr>
          <w:u w:val="single"/>
        </w:rPr>
        <w:t xml:space="preserve"> and cities</w:t>
      </w:r>
      <w:r w:rsidRPr="001F6D21" w:rsidR="00523F3A">
        <w:rPr>
          <w:u w:val="single"/>
        </w:rPr>
        <w:t xml:space="preserve"> that represent different sized jurisdictions is directed to create a model</w:t>
      </w:r>
      <w:r w:rsidR="00523F3A">
        <w:rPr>
          <w:u w:val="single"/>
        </w:rPr>
        <w:t xml:space="preserve"> climate change and resilience element </w:t>
      </w:r>
      <w:r w:rsidRPr="001F6D21" w:rsidR="00523F3A">
        <w:rPr>
          <w:u w:val="single"/>
        </w:rPr>
        <w:t xml:space="preserve">in accordance with this section.  The members representing cities shall be </w:t>
      </w:r>
      <w:r w:rsidR="00523F3A">
        <w:rPr>
          <w:u w:val="single"/>
        </w:rPr>
        <w:t>appointed</w:t>
      </w:r>
      <w:r w:rsidRPr="001F6D21" w:rsidR="00523F3A">
        <w:rPr>
          <w:u w:val="single"/>
        </w:rPr>
        <w:t xml:space="preserve"> by a statewide organization representing all of Washington’s cities.  The members representing counties shall be </w:t>
      </w:r>
      <w:r w:rsidR="00523F3A">
        <w:rPr>
          <w:u w:val="single"/>
        </w:rPr>
        <w:t>appointed</w:t>
      </w:r>
      <w:r w:rsidRPr="001F6D21" w:rsidR="00523F3A">
        <w:rPr>
          <w:u w:val="single"/>
        </w:rPr>
        <w:t xml:space="preserve"> by a statewide organization representing all of Washington’s counties.</w:t>
      </w:r>
    </w:p>
    <w:p w:rsidRPr="001F6D21" w:rsidR="00523F3A" w:rsidP="00523F3A" w:rsidRDefault="00523F3A" w14:paraId="19A507A9" w14:textId="77777777">
      <w:pPr>
        <w:pStyle w:val="Page"/>
        <w:rPr>
          <w:u w:val="single"/>
        </w:rPr>
      </w:pPr>
      <w:r w:rsidRPr="001F6D21">
        <w:tab/>
      </w:r>
      <w:r w:rsidRPr="001F6D21">
        <w:rPr>
          <w:u w:val="single"/>
        </w:rPr>
        <w:t>(</w:t>
      </w:r>
      <w:r>
        <w:rPr>
          <w:u w:val="single"/>
        </w:rPr>
        <w:t>b</w:t>
      </w:r>
      <w:r w:rsidRPr="001F6D21">
        <w:rPr>
          <w:u w:val="single"/>
        </w:rPr>
        <w:t>) From this membership two co-chairs from differing major political parties as defined in 29A.04.086 </w:t>
      </w:r>
      <w:r>
        <w:rPr>
          <w:u w:val="single"/>
        </w:rPr>
        <w:t>shall</w:t>
      </w:r>
      <w:r w:rsidRPr="001F6D21">
        <w:rPr>
          <w:u w:val="single"/>
        </w:rPr>
        <w:t xml:space="preserve"> be chosen.  </w:t>
      </w:r>
    </w:p>
    <w:p w:rsidRPr="00F71940" w:rsidR="00523F3A" w:rsidP="00523F3A" w:rsidRDefault="00523F3A" w14:paraId="6B2398B0" w14:textId="1A2A689D">
      <w:pPr>
        <w:pStyle w:val="Page"/>
        <w:rPr>
          <w:u w:val="single"/>
        </w:rPr>
      </w:pPr>
      <w:r w:rsidRPr="001F6D21">
        <w:tab/>
      </w:r>
      <w:r w:rsidRPr="00F71940">
        <w:rPr>
          <w:u w:val="single"/>
        </w:rPr>
        <w:t>(</w:t>
      </w:r>
      <w:r>
        <w:rPr>
          <w:u w:val="single"/>
        </w:rPr>
        <w:t>c</w:t>
      </w:r>
      <w:r w:rsidRPr="00F71940">
        <w:rPr>
          <w:u w:val="single"/>
        </w:rPr>
        <w:t xml:space="preserve">) The task force may include an employee from each of the associations that represent cities, counties, and county elected officials. </w:t>
      </w:r>
    </w:p>
    <w:p w:rsidRPr="00F71940" w:rsidR="00523F3A" w:rsidP="00523F3A" w:rsidRDefault="00523F3A" w14:paraId="4FA57DEA" w14:textId="77777777">
      <w:pPr>
        <w:pStyle w:val="Page"/>
        <w:rPr>
          <w:u w:val="single"/>
        </w:rPr>
      </w:pPr>
      <w:r w:rsidRPr="001F6D21">
        <w:tab/>
      </w:r>
      <w:r w:rsidRPr="00F71940">
        <w:rPr>
          <w:u w:val="single"/>
        </w:rPr>
        <w:t>(</w:t>
      </w:r>
      <w:r>
        <w:rPr>
          <w:u w:val="single"/>
        </w:rPr>
        <w:t>d</w:t>
      </w:r>
      <w:r w:rsidRPr="00F71940">
        <w:rPr>
          <w:u w:val="single"/>
        </w:rPr>
        <w:t>) The department of commerce, the department of ecology, the department of fish and wildlife, the department of natural resources, the department of health,</w:t>
      </w:r>
      <w:r w:rsidRPr="001F6D21">
        <w:rPr>
          <w:u w:val="single"/>
        </w:rPr>
        <w:t xml:space="preserve"> and</w:t>
      </w:r>
      <w:r w:rsidRPr="00F71940">
        <w:rPr>
          <w:u w:val="single"/>
        </w:rPr>
        <w:t xml:space="preserve"> the emergency management division of the military department </w:t>
      </w:r>
      <w:r w:rsidRPr="001F6D21">
        <w:rPr>
          <w:u w:val="single"/>
        </w:rPr>
        <w:t>shall</w:t>
      </w:r>
      <w:r w:rsidRPr="00F71940">
        <w:rPr>
          <w:u w:val="single"/>
        </w:rPr>
        <w:t xml:space="preserve"> </w:t>
      </w:r>
      <w:r w:rsidRPr="001F6D21">
        <w:rPr>
          <w:u w:val="single"/>
        </w:rPr>
        <w:t>designate one non-voting member from their respective departments to serve on</w:t>
      </w:r>
      <w:r w:rsidRPr="00F71940">
        <w:rPr>
          <w:u w:val="single"/>
        </w:rPr>
        <w:t xml:space="preserve"> the task force.  These departments </w:t>
      </w:r>
      <w:r w:rsidRPr="001F6D21">
        <w:rPr>
          <w:u w:val="single"/>
        </w:rPr>
        <w:t>shall</w:t>
      </w:r>
      <w:r w:rsidRPr="00F71940">
        <w:rPr>
          <w:u w:val="single"/>
        </w:rPr>
        <w:t xml:space="preserve"> cooperate with the task force and provide information as the cochairs</w:t>
      </w:r>
      <w:r w:rsidRPr="001F6D21">
        <w:rPr>
          <w:u w:val="single"/>
        </w:rPr>
        <w:t xml:space="preserve"> may</w:t>
      </w:r>
      <w:r w:rsidRPr="00F71940">
        <w:rPr>
          <w:u w:val="single"/>
        </w:rPr>
        <w:t xml:space="preserve"> reasonably request.</w:t>
      </w:r>
    </w:p>
    <w:p w:rsidRPr="00F71940" w:rsidR="00523F3A" w:rsidP="00523F3A" w:rsidRDefault="00523F3A" w14:paraId="1ADC5C17" w14:textId="77777777">
      <w:pPr>
        <w:pStyle w:val="Page"/>
        <w:rPr>
          <w:u w:val="single"/>
        </w:rPr>
      </w:pPr>
      <w:r w:rsidRPr="001F6D21">
        <w:tab/>
      </w:r>
      <w:r w:rsidRPr="00F71940">
        <w:rPr>
          <w:u w:val="single"/>
        </w:rPr>
        <w:t>(</w:t>
      </w:r>
      <w:r>
        <w:rPr>
          <w:u w:val="single"/>
        </w:rPr>
        <w:t>e</w:t>
      </w:r>
      <w:r w:rsidRPr="00F71940">
        <w:rPr>
          <w:u w:val="single"/>
        </w:rPr>
        <w:t xml:space="preserve">) The department of commerce may convene the first task force meeting no later than September 1, </w:t>
      </w:r>
      <w:proofErr w:type="gramStart"/>
      <w:r w:rsidRPr="00F71940">
        <w:rPr>
          <w:u w:val="single"/>
        </w:rPr>
        <w:t>2023</w:t>
      </w:r>
      <w:proofErr w:type="gramEnd"/>
      <w:r w:rsidRPr="00F71940">
        <w:rPr>
          <w:u w:val="single"/>
        </w:rPr>
        <w:t xml:space="preserve"> if the city and county elected officials have not called a meeting prior to that date.</w:t>
      </w:r>
    </w:p>
    <w:p w:rsidR="00523F3A" w:rsidP="00523F3A" w:rsidRDefault="00523F3A" w14:paraId="12C5AF48" w14:textId="77777777">
      <w:pPr>
        <w:pStyle w:val="Page"/>
      </w:pPr>
      <w:r w:rsidRPr="001F6D21">
        <w:tab/>
      </w:r>
      <w:r w:rsidRPr="001F6D21">
        <w:rPr>
          <w:u w:val="single"/>
        </w:rPr>
        <w:t>(</w:t>
      </w:r>
      <w:r>
        <w:rPr>
          <w:u w:val="single"/>
        </w:rPr>
        <w:t>f</w:t>
      </w:r>
      <w:r w:rsidRPr="001F6D21">
        <w:rPr>
          <w:u w:val="single"/>
        </w:rPr>
        <w:t>)  The task force shall create</w:t>
      </w:r>
      <w:r w:rsidRPr="00F71940">
        <w:t>”</w:t>
      </w:r>
    </w:p>
    <w:p w:rsidR="00523F3A" w:rsidP="00523F3A" w:rsidRDefault="00523F3A" w14:paraId="44E2173A" w14:textId="77777777">
      <w:pPr>
        <w:pStyle w:val="RCWSLText"/>
      </w:pPr>
    </w:p>
    <w:p w:rsidR="00523F3A" w:rsidP="00924017" w:rsidRDefault="00523F3A" w14:paraId="30A1DD25" w14:textId="77777777">
      <w:pPr>
        <w:pStyle w:val="RCWSLText"/>
      </w:pPr>
      <w:r>
        <w:lastRenderedPageBreak/>
        <w:tab/>
        <w:t>On page 29, at the beginning of line 20 of the striking amendment, strike "</w:t>
      </w:r>
      <w:r>
        <w:rPr>
          <w:u w:val="single"/>
        </w:rPr>
        <w:t>(a)</w:t>
      </w:r>
      <w:r>
        <w:t>" and insert "</w:t>
      </w:r>
      <w:r>
        <w:rPr>
          <w:u w:val="single"/>
        </w:rPr>
        <w:t>(</w:t>
      </w:r>
      <w:proofErr w:type="spellStart"/>
      <w:r>
        <w:rPr>
          <w:u w:val="single"/>
        </w:rPr>
        <w:t>i</w:t>
      </w:r>
      <w:proofErr w:type="spellEnd"/>
      <w:r>
        <w:rPr>
          <w:u w:val="single"/>
        </w:rPr>
        <w:t>)</w:t>
      </w:r>
      <w:r>
        <w:t>"</w:t>
      </w:r>
    </w:p>
    <w:p w:rsidR="00523F3A" w:rsidP="00523F3A" w:rsidRDefault="00523F3A" w14:paraId="4CAD9C72" w14:textId="77777777">
      <w:pPr>
        <w:pStyle w:val="RCWSLText"/>
      </w:pPr>
    </w:p>
    <w:p w:rsidR="00523F3A" w:rsidP="00523F3A" w:rsidRDefault="00523F3A" w14:paraId="3B57B09C" w14:textId="77777777">
      <w:pPr>
        <w:pStyle w:val="RCWSLText"/>
      </w:pPr>
      <w:r>
        <w:tab/>
        <w:t>On page 29, at the beginning of line 24 of the striking amendment, strike "</w:t>
      </w:r>
      <w:r>
        <w:rPr>
          <w:u w:val="single"/>
        </w:rPr>
        <w:t>(b)</w:t>
      </w:r>
      <w:r>
        <w:t>" and insert "</w:t>
      </w:r>
      <w:r>
        <w:rPr>
          <w:u w:val="single"/>
        </w:rPr>
        <w:t>(ii)</w:t>
      </w:r>
      <w:r>
        <w:t>"</w:t>
      </w:r>
    </w:p>
    <w:p w:rsidR="00523F3A" w:rsidP="00523F3A" w:rsidRDefault="00523F3A" w14:paraId="2E1F196E" w14:textId="77777777">
      <w:pPr>
        <w:pStyle w:val="RCWSLText"/>
      </w:pPr>
    </w:p>
    <w:p w:rsidR="00523F3A" w:rsidP="00523F3A" w:rsidRDefault="00523F3A" w14:paraId="7A1F52BF" w14:textId="77777777">
      <w:pPr>
        <w:pStyle w:val="RCWSLText"/>
      </w:pPr>
      <w:r>
        <w:tab/>
        <w:t>On page 29, at the beginning of line 31 of the striking amendment, strike "</w:t>
      </w:r>
      <w:r>
        <w:rPr>
          <w:u w:val="single"/>
        </w:rPr>
        <w:t>(c)</w:t>
      </w:r>
      <w:r>
        <w:t>" and insert "</w:t>
      </w:r>
      <w:r>
        <w:rPr>
          <w:u w:val="single"/>
        </w:rPr>
        <w:t>(iii)</w:t>
      </w:r>
      <w:r>
        <w:t>"</w:t>
      </w:r>
    </w:p>
    <w:p w:rsidR="00523F3A" w:rsidP="00523F3A" w:rsidRDefault="00523F3A" w14:paraId="1EB655A9" w14:textId="77777777">
      <w:pPr>
        <w:pStyle w:val="RCWSLText"/>
      </w:pPr>
    </w:p>
    <w:p w:rsidRPr="000F49FB" w:rsidR="00523F3A" w:rsidP="00523F3A" w:rsidRDefault="00523F3A" w14:paraId="5400FA01" w14:textId="77777777">
      <w:pPr>
        <w:pStyle w:val="RCWSLText"/>
        <w:rPr>
          <w:u w:val="single"/>
        </w:rPr>
      </w:pPr>
      <w:r>
        <w:tab/>
        <w:t>On page 29, at the beginning of line 36 of the striking amendment, strike "</w:t>
      </w:r>
      <w:r>
        <w:rPr>
          <w:u w:val="single"/>
        </w:rPr>
        <w:t>(d) The rule</w:t>
      </w:r>
      <w:r>
        <w:t>" and insert "</w:t>
      </w:r>
      <w:r>
        <w:rPr>
          <w:u w:val="single"/>
        </w:rPr>
        <w:t>(iv) The model element</w:t>
      </w:r>
      <w:r>
        <w:t>"</w:t>
      </w:r>
    </w:p>
    <w:p w:rsidR="00304DE7" w:rsidP="00C8108C" w:rsidRDefault="00304DE7" w14:paraId="35FE350D" w14:textId="4483C863">
      <w:pPr>
        <w:pStyle w:val="Page"/>
      </w:pPr>
    </w:p>
    <w:p w:rsidRPr="00304DE7" w:rsidR="00DF5D0E" w:rsidP="00304DE7" w:rsidRDefault="00DF5D0E" w14:paraId="5DF255B1" w14:textId="78A9CE7D">
      <w:pPr>
        <w:suppressLineNumbers/>
        <w:rPr>
          <w:spacing w:val="-3"/>
        </w:rPr>
      </w:pPr>
    </w:p>
    <w:permEnd w:id="1461147101"/>
    <w:p w:rsidR="00ED2EEB" w:rsidP="00304DE7" w:rsidRDefault="00ED2EEB" w14:paraId="7445F6C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369077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48764DE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304DE7" w:rsidRDefault="00D659AC" w14:paraId="3B19464D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304DE7" w:rsidRDefault="0096303F" w14:paraId="53AAC453" w14:textId="026BDD9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523F3A">
                  <w:t xml:space="preserve"> Removes the requirement that the Department of Commerce, in collaboration with other agencies and federally recognized Indian tribes, </w:t>
                </w:r>
                <w:proofErr w:type="gramStart"/>
                <w:r w:rsidR="00523F3A">
                  <w:t>establish</w:t>
                </w:r>
                <w:proofErr w:type="gramEnd"/>
                <w:r w:rsidR="00523F3A">
                  <w:t xml:space="preserve"> and adopt by rule a model climate change and resiliency element and creates a legislative task force to establish the model element. Includes provisions on the composition and responsibilities of the task force.</w:t>
                </w:r>
                <w:r w:rsidRPr="0096303F" w:rsidR="001C1B27">
                  <w:t>  </w:t>
                </w:r>
              </w:p>
              <w:p w:rsidRPr="007D1589" w:rsidR="001B4E53" w:rsidP="00304DE7" w:rsidRDefault="001B4E53" w14:paraId="593A8183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36907767"/>
    </w:tbl>
    <w:p w:rsidR="00DF5D0E" w:rsidP="00304DE7" w:rsidRDefault="00DF5D0E" w14:paraId="4935702A" w14:textId="77777777">
      <w:pPr>
        <w:pStyle w:val="BillEnd"/>
        <w:suppressLineNumbers/>
      </w:pPr>
    </w:p>
    <w:p w:rsidR="00DF5D0E" w:rsidP="00304DE7" w:rsidRDefault="00DE256E" w14:paraId="221CDB18" w14:textId="77777777">
      <w:pPr>
        <w:pStyle w:val="BillEnd"/>
        <w:suppressLineNumbers/>
      </w:pPr>
      <w:r>
        <w:rPr>
          <w:b/>
        </w:rPr>
        <w:t>--- END ---</w:t>
      </w:r>
    </w:p>
    <w:p w:rsidR="00DF5D0E" w:rsidP="00304DE7" w:rsidRDefault="00AB682C" w14:paraId="480DE76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66962" w14:textId="77777777" w:rsidR="00304DE7" w:rsidRDefault="00304DE7" w:rsidP="00DF5D0E">
      <w:r>
        <w:separator/>
      </w:r>
    </w:p>
  </w:endnote>
  <w:endnote w:type="continuationSeparator" w:id="0">
    <w:p w14:paraId="238289CF" w14:textId="77777777" w:rsidR="00304DE7" w:rsidRDefault="00304DE7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24017" w14:paraId="43FA83DA" w14:textId="7302F80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1181-S2 AMH JACO ALLI 308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924017" w14:paraId="13917E3B" w14:textId="4EC4071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1181-S2 AMH JACO ALLI 308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FD4F" w14:textId="77777777" w:rsidR="00304DE7" w:rsidRDefault="00304DE7" w:rsidP="00DF5D0E">
      <w:r>
        <w:separator/>
      </w:r>
    </w:p>
  </w:footnote>
  <w:footnote w:type="continuationSeparator" w:id="0">
    <w:p w14:paraId="6E7E81A9" w14:textId="77777777" w:rsidR="00304DE7" w:rsidRDefault="00304DE7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80B9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12AB6A" wp14:editId="7B46C9A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F3DC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7547A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EDB54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F544E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049BEB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82757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84C8A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B70CBB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1430B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14231B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DE08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DFB82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4CD7B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FA45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14F2A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52237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B256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0B249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2ABA3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DA172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5AC2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97256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25F9F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966DA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9C8BE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154220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4EB77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605B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3B27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FBDF6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05ADCF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80D7E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8AB73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47052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12AB6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05F3DC3B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7547A0E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EDB54E2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F544E3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049BEB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827574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84C8AAD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B70CBB1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1430BA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14231B6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DE089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DFB829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4CD7B2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FA45A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14F2A9B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52237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B256A2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0B2491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2ABA33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DA1725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5AC2E20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972562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25F9F16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966DA1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9C8BE8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154220A8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4EB77D1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8605BE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3B271A1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FBDF6B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05ADCFE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80D7E19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8AB733A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4705283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937D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B35586" wp14:editId="2BE4DCB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830F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5CA5E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FA2A7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E0EF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00B59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E6B33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1B30E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D3A0F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767D6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9AEF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3E55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01AA3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8F1A9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9F971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1804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07A7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55148F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0E3B4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9512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404D0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B782D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62287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5ABC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270C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72942E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4F9B78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033ED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B35586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7A8830F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5CA5EC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FA2A7D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E0EFCF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00B593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E6B33E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1B30E5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D3A0F4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767D67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9AEF9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3E555D4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01AA32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8F1A95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9F9716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180424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07A762D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55148FF6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0E3B4A0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9512F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404D04B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B782D3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6228741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5ABC81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270CF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72942E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4F9B78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033ED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20958099">
    <w:abstractNumId w:val="5"/>
  </w:num>
  <w:num w:numId="2" w16cid:durableId="1209030076">
    <w:abstractNumId w:val="3"/>
  </w:num>
  <w:num w:numId="3" w16cid:durableId="369574249">
    <w:abstractNumId w:val="2"/>
  </w:num>
  <w:num w:numId="4" w16cid:durableId="1558316036">
    <w:abstractNumId w:val="1"/>
  </w:num>
  <w:num w:numId="5" w16cid:durableId="1495797951">
    <w:abstractNumId w:val="0"/>
  </w:num>
  <w:num w:numId="6" w16cid:durableId="94592260">
    <w:abstractNumId w:val="4"/>
  </w:num>
  <w:num w:numId="7" w16cid:durableId="75983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04DE7"/>
    <w:rsid w:val="00316CD9"/>
    <w:rsid w:val="003E2FC6"/>
    <w:rsid w:val="00492DDC"/>
    <w:rsid w:val="004C6615"/>
    <w:rsid w:val="005115F9"/>
    <w:rsid w:val="00523C5A"/>
    <w:rsid w:val="00523F3A"/>
    <w:rsid w:val="005E69C3"/>
    <w:rsid w:val="00605C39"/>
    <w:rsid w:val="006841E6"/>
    <w:rsid w:val="006F7027"/>
    <w:rsid w:val="007049E4"/>
    <w:rsid w:val="0072335D"/>
    <w:rsid w:val="0072541D"/>
    <w:rsid w:val="007255C0"/>
    <w:rsid w:val="00757317"/>
    <w:rsid w:val="007769AF"/>
    <w:rsid w:val="007D1589"/>
    <w:rsid w:val="007D35D4"/>
    <w:rsid w:val="007D747A"/>
    <w:rsid w:val="0083749C"/>
    <w:rsid w:val="008443FE"/>
    <w:rsid w:val="00846034"/>
    <w:rsid w:val="008C7E6E"/>
    <w:rsid w:val="0092401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556E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C1AD0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06CD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1181-S2</BillDocName>
  <AmendType>AMH</AmendType>
  <SponsorAcronym>JACO</SponsorAcronym>
  <DrafterAcronym>ALLI</DrafterAcronym>
  <DraftNumber>308</DraftNumber>
  <ReferenceNumber>2SHB 1181</ReferenceNumber>
  <Floor>H AMD TO H AMD (H-1596.1/23) </Floor>
  <AmendmentNumber> 172</AmendmentNumber>
  <Sponsors>By Representative Jacobsen</Sponsors>
  <FloorAction>NOT ADOPTED 03/03/2023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2135</Characters>
  <Application>Microsoft Office Word</Application>
  <DocSecurity>8</DocSecurity>
  <Lines>59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1181-S2 AMH JACO ALLI 308</dc:title>
  <dc:creator>Elizabeth Allison</dc:creator>
  <cp:lastModifiedBy>Elizabeth Allison</cp:lastModifiedBy>
  <cp:revision>3</cp:revision>
  <cp:lastPrinted>2023-03-03T19:36:00Z</cp:lastPrinted>
  <dcterms:created xsi:type="dcterms:W3CDTF">2023-03-03T19:57:00Z</dcterms:created>
  <dcterms:modified xsi:type="dcterms:W3CDTF">2023-03-03T19:57:00Z</dcterms:modified>
</cp:coreProperties>
</file>