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36d6f77ab45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YBAR</w:t>
        </w:r>
      </w:r>
      <w:r>
        <w:rPr>
          <w:b/>
        </w:rPr>
        <w:t xml:space="preserve"> </w:t>
        <w:r>
          <w:rPr/>
          <w:t xml:space="preserve">H3207.1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1185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Ybarra</w:t>
      </w:r>
    </w:p>
    <w:p>
      <w:pPr>
        <w:jc w:val="right"/>
      </w:pPr>
      <w:r>
        <w:rPr>
          <w:b/>
        </w:rPr>
        <w:t xml:space="preserve">ADOPTED 02/10/2024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27, line 32, after "(1)" strike all material through "</w:t>
      </w:r>
      <w:r>
        <w:rPr>
          <w:u w:val="single"/>
        </w:rPr>
        <w:t xml:space="preserve">70A.505.050</w:t>
      </w:r>
      <w:r>
        <w:rPr/>
        <w:t xml:space="preserve">" on page 28, line 10 and insert "An exemption from the taxes imposed in this chapter is provided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Producers, with respect to environmental handling charges added to the purchase price of mercury-containing lights either by the producer or a retailer pursuant to an agreement with the producer;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Retailers, with respect to environmental handling charges added to the purchase price of mercury-containing lights sold at retail, including the portion of environmental handling charges retained as reimbursement for any costs associated with the collection and remittance of the charges;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Stewardship organizations, with respect to environmental handling charges received from producers and retailers </w:t>
      </w:r>
      <w:r>
        <w:rPr>
          <w:u w:val="single"/>
        </w:rPr>
        <w:t xml:space="preserve">and to the receipts from charges to participating producers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business and occupation tax exemption for retailers and producers associated with the imposition of the environmental handling charge to sales of mercury-containing lights through 2028.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94c33b4304229" /></Relationships>
</file>