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b0888afd048b8" /></Relationships>
</file>

<file path=word/document.xml><?xml version="1.0" encoding="utf-8"?>
<w:document xmlns:w="http://schemas.openxmlformats.org/wordprocessingml/2006/main">
  <w:body>
    <w:p>
      <w:r>
        <w:rPr>
          <w:b/>
        </w:rPr>
        <w:r>
          <w:rPr/>
          <w:t xml:space="preserve">1248-S</w:t>
        </w:r>
      </w:r>
      <w:r>
        <w:rPr>
          <w:b/>
        </w:rPr>
        <w:t xml:space="preserve"> </w:t>
        <w:t xml:space="preserve">AMH</w:t>
      </w:r>
      <w:r>
        <w:rPr>
          <w:b/>
        </w:rPr>
        <w:t xml:space="preserve"> </w:t>
        <w:r>
          <w:rPr/>
          <w:t xml:space="preserve">STON</w:t>
        </w:r>
      </w:r>
      <w:r>
        <w:rPr>
          <w:b/>
        </w:rPr>
        <w:t xml:space="preserve"> </w:t>
        <w:r>
          <w:rPr/>
          <w:t xml:space="preserve">H2697.1</w:t>
        </w:r>
      </w:r>
      <w:r>
        <w:rPr>
          <w:b/>
        </w:rPr>
        <w:t xml:space="preserve"> - NOT FOR FLOOR USE</w:t>
      </w:r>
    </w:p>
    <w:p>
      <w:pPr>
        <w:ind w:left="0" w:right="0" w:firstLine="576"/>
      </w:pPr>
    </w:p>
    <w:p>
      <w:pPr>
        <w:spacing w:before="480" w:after="0" w:line="408" w:lineRule="exact"/>
      </w:pPr>
      <w:r>
        <w:rPr>
          <w:b/>
          <w:u w:val="single"/>
        </w:rPr>
        <w:t xml:space="preserve">SHB 1248</w:t>
      </w:r>
      <w:r>
        <w:t xml:space="preserve"> -</w:t>
      </w:r>
      <w:r>
        <w:t xml:space="preserve"> </w:t>
        <w:t xml:space="preserve">H AMD</w:t>
      </w:r>
      <w:r>
        <w:t xml:space="preserve"> </w:t>
      </w:r>
      <w:r>
        <w:rPr>
          <w:b/>
        </w:rPr>
        <w:t xml:space="preserve">786</w:t>
      </w:r>
    </w:p>
    <w:p>
      <w:pPr>
        <w:spacing w:before="0" w:after="0" w:line="408" w:lineRule="exact"/>
        <w:ind w:left="0" w:right="0" w:firstLine="576"/>
        <w:jc w:val="left"/>
      </w:pPr>
      <w:r>
        <w:rPr/>
        <w:t xml:space="preserve">By Representative Stonier</w:t>
      </w:r>
    </w:p>
    <w:p>
      <w:pPr>
        <w:jc w:val="right"/>
      </w:pPr>
      <w:r>
        <w:rPr>
          <w:b/>
        </w:rPr>
        <w:t xml:space="preserve">WITHDRAWN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to, or on behalf of,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 bus, van, or shuttle driver, monitor, mechanic, or dispatcher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2024,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requiring transportation safety net awards for special passengers and amending the transportation alternate funding grant program.</w:t>
      </w:r>
    </w:p>
    <w:p>
      <w:pPr>
        <w:spacing w:before="0" w:after="0" w:line="408" w:lineRule="exact"/>
        <w:ind w:left="0" w:right="0" w:firstLine="576"/>
        <w:jc w:val="left"/>
      </w:pPr>
      <w:r>
        <w:rPr/>
        <w:t xml:space="preserve">(2) Revises requirements of contracts for pupil transportation services, including:</w:t>
      </w:r>
    </w:p>
    <w:p>
      <w:pPr>
        <w:spacing w:before="0" w:after="0" w:line="408" w:lineRule="exact"/>
        <w:ind w:left="0" w:right="0" w:firstLine="576"/>
        <w:jc w:val="left"/>
      </w:pPr>
      <w:r>
        <w:rPr/>
        <w:t xml:space="preserve">(a) Changes health benefit requirement from sufficient funds specifically for the contracting employer to provide employees with a health benefits contribution equal to the school employees' benefit board (SEBB) to a contribution equal to the employer payment dollar amount in effect for the first year of the contract for health care benefit rates for the SEBB.</w:t>
      </w:r>
    </w:p>
    <w:p>
      <w:pPr>
        <w:spacing w:before="0" w:after="0" w:line="408" w:lineRule="exact"/>
        <w:ind w:left="0" w:right="0" w:firstLine="576"/>
        <w:jc w:val="left"/>
      </w:pPr>
      <w:r>
        <w:rPr/>
        <w:t xml:space="preserve">(b) Changes requirement for employer retirement contributions equivalent to state plans to an amount equivalent to the salaries of the employees of the contractor multiplied by the employer normal cost contribution rate determined under the entry age cost method for the school employees' retirement system.</w:t>
      </w:r>
    </w:p>
    <w:p>
      <w:pPr>
        <w:spacing w:before="0" w:after="0" w:line="408" w:lineRule="exact"/>
        <w:ind w:left="0" w:right="0" w:firstLine="576"/>
        <w:jc w:val="left"/>
      </w:pPr>
      <w:r>
        <w:rPr/>
        <w:t xml:space="preserve">(c) Changes term of "employees of the contractor" to "employees" and revises definition of an eligible employee to include a bus, van, or shuttle driver, monitor, mechanic, or dispatcher.</w:t>
      </w:r>
    </w:p>
    <w:p>
      <w:pPr>
        <w:spacing w:before="0" w:after="0" w:line="408" w:lineRule="exact"/>
        <w:ind w:left="0" w:right="0" w:firstLine="576"/>
        <w:jc w:val="left"/>
      </w:pPr>
      <w:r>
        <w:rPr/>
        <w:t xml:space="preserve">(d) Replaces one-time supplemental allocations of $200 per employee working more than 630 hours, per month for districts that experience higher costs under the new contract requirements with a reimbursement subject to funding provided specifically for increased costs. Additional reporting requirements for contracting districts are included to show the dollar equivalency for health care and retirement benefits as provided by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82c4106694802" /></Relationships>
</file>