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274fc0ede41dc" /></Relationships>
</file>

<file path=word/document.xml><?xml version="1.0" encoding="utf-8"?>
<w:document xmlns:w="http://schemas.openxmlformats.org/wordprocessingml/2006/main">
  <w:body>
    <w:p>
      <w:r>
        <w:rPr>
          <w:b/>
        </w:rPr>
        <w:r>
          <w:rPr/>
          <w:t xml:space="preserve">1282-S.E</w:t>
        </w:r>
      </w:r>
      <w:r>
        <w:rPr>
          <w:b/>
        </w:rPr>
        <w:t xml:space="preserve"> </w:t>
        <w:t xml:space="preserve">AMH</w:t>
      </w:r>
      <w:r>
        <w:rPr>
          <w:b/>
        </w:rPr>
        <w:t xml:space="preserve"> </w:t>
        <w:r>
          <w:rPr/>
          <w:t xml:space="preserve">DUER</w:t>
        </w:r>
      </w:r>
      <w:r>
        <w:rPr>
          <w:b/>
        </w:rPr>
        <w:t xml:space="preserve"> </w:t>
        <w:r>
          <w:rPr/>
          <w:t xml:space="preserve">H3274.1</w:t>
        </w:r>
      </w:r>
      <w:r>
        <w:rPr>
          <w:b/>
        </w:rPr>
        <w:t xml:space="preserve"> - NOT FOR FLOOR USE</w:t>
      </w:r>
    </w:p>
    <w:p>
      <w:pPr>
        <w:ind w:left="0" w:right="0" w:firstLine="576"/>
      </w:pPr>
    </w:p>
    <w:p>
      <w:pPr>
        <w:spacing w:before="480" w:after="0" w:line="408" w:lineRule="exact"/>
      </w:pPr>
      <w:r>
        <w:rPr>
          <w:b/>
          <w:u w:val="single"/>
        </w:rPr>
        <w:t xml:space="preserve">ESHB 1282</w:t>
      </w:r>
      <w:r>
        <w:t xml:space="preserve"> -</w:t>
      </w:r>
      <w:r>
        <w:t xml:space="preserve"> </w:t>
        <w:t xml:space="preserve">H AMD</w:t>
      </w:r>
      <w:r>
        <w:t xml:space="preserve"> </w:t>
      </w:r>
      <w:r>
        <w:rPr>
          <w:b/>
        </w:rPr>
        <w:t xml:space="preserve">1066</w:t>
      </w:r>
    </w:p>
    <w:p>
      <w:pPr>
        <w:spacing w:before="0" w:after="0" w:line="408" w:lineRule="exact"/>
        <w:ind w:left="0" w:right="0" w:firstLine="576"/>
        <w:jc w:val="left"/>
      </w:pPr>
      <w:r>
        <w:rPr/>
        <w:t xml:space="preserve">By Representative Duerr</w:t>
      </w:r>
    </w:p>
    <w:p>
      <w:pPr>
        <w:jc w:val="right"/>
      </w:pPr>
      <w:r>
        <w:rPr>
          <w:b/>
        </w:rPr>
        <w:t xml:space="preserve">ADOPTED AS AMENDED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procurement practices should encourage manufacturers and others to meet high environmental and labor standards and reduce their environmental footprint.</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state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reducing greenhouse gas emissions and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help small manufacturers offset costs they might incur when pursuing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includes:</w:t>
      </w:r>
    </w:p>
    <w:p>
      <w:pPr>
        <w:spacing w:before="0" w:after="0" w:line="408" w:lineRule="exact"/>
        <w:ind w:left="0" w:right="0" w:firstLine="576"/>
        <w:jc w:val="left"/>
      </w:pPr>
      <w:r>
        <w:rPr/>
        <w:t xml:space="preserve">(a) Structural concrete products, including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metal deck, and plate; and</w:t>
      </w:r>
    </w:p>
    <w:p>
      <w:pPr>
        <w:spacing w:before="0" w:after="0" w:line="408" w:lineRule="exact"/>
        <w:ind w:left="0" w:right="0" w:firstLine="576"/>
        <w:jc w:val="left"/>
      </w:pPr>
      <w:r>
        <w:rPr/>
        <w:t xml:space="preserve">(d)(i) Engineered wood products, such as cross-laminated timber per ANSI form no. PRG 320, glulam beams, laminated veneer lumber, parallel strand lumber, dowel laminated timber, nail laminated timber, glulam laminated timber, prefabricated wood joists per ASTM D5055, wood structural panel per product standard 1 or product standard 2, solid sawn lumber per product standard 20, structural composite lumber per ASTM D5456, and structural sawn lumber.</w:t>
      </w:r>
    </w:p>
    <w:p>
      <w:pPr>
        <w:spacing w:before="0" w:after="0" w:line="408" w:lineRule="exact"/>
        <w:ind w:left="0" w:right="0" w:firstLine="576"/>
        <w:jc w:val="left"/>
      </w:pPr>
      <w:r>
        <w:rPr/>
        <w:t xml:space="preserve">(ii) For the purposes of this subsection (3)(d):</w:t>
      </w:r>
    </w:p>
    <w:p>
      <w:pPr>
        <w:spacing w:before="0" w:after="0" w:line="408" w:lineRule="exact"/>
        <w:ind w:left="0" w:right="0" w:firstLine="576"/>
        <w:jc w:val="left"/>
      </w:pPr>
      <w:r>
        <w:rPr/>
        <w:t xml:space="preserve">(A) "ANSI" means the American national standards institute.</w:t>
      </w:r>
    </w:p>
    <w:p>
      <w:pPr>
        <w:spacing w:before="0" w:after="0" w:line="408" w:lineRule="exact"/>
        <w:ind w:left="0" w:right="0" w:firstLine="576"/>
        <w:jc w:val="left"/>
      </w:pPr>
      <w:r>
        <w:rPr/>
        <w:t xml:space="preserve">(B) "ASTM" means the American society for testing and materials.</w:t>
      </w:r>
    </w:p>
    <w:p>
      <w:pPr>
        <w:spacing w:before="0" w:after="0" w:line="408" w:lineRule="exact"/>
        <w:ind w:left="0" w:right="0" w:firstLine="576"/>
        <w:jc w:val="left"/>
      </w:pPr>
      <w:r>
        <w:rPr/>
        <w:t xml:space="preserve">(C) "Product standard" means a voluntary product standard published by the United States department of commerce national institute of standards and technology.</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 When available, the environmental product declaration must be supply chain specific.</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 "Product and facility specific report" means an environmental product declaration whereby the environmental impacts can be attributed to a single manufacturer and a specific manufacturing or production facility.</w:t>
      </w:r>
    </w:p>
    <w:p>
      <w:pPr>
        <w:spacing w:before="0" w:after="0" w:line="408" w:lineRule="exact"/>
        <w:ind w:left="0" w:right="0" w:firstLine="576"/>
        <w:jc w:val="left"/>
      </w:pPr>
      <w:r>
        <w:rPr/>
        <w:t xml:space="preserve">(12)(a)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(13)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(14)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(15) "Total case incident rate" means the number of work-related injuries per 100 full-time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(16) "Working conditions" means the average number of employees by employment type: Full time, part time, and temporary.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2025, an awarding authority must require in all newly executed construction contracts that the selected firm for a construction contract for a covered project larger than 100,000 gross square feet submit the following data for each covered product used before substantial completion, including at a minimum:</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2027, an awarding authority must require in all newly executed construction contracts that the selected firm for a construction contract for a covered project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2025,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 including at a minimum:</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2027,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If a supply chain specific environmental product declaration is not available, a product and facility specific report may be submitted.</w:t>
      </w:r>
    </w:p>
    <w:p>
      <w:pPr>
        <w:spacing w:before="0" w:after="0" w:line="408" w:lineRule="exact"/>
        <w:ind w:left="0" w:right="0" w:firstLine="576"/>
        <w:jc w:val="left"/>
      </w:pPr>
      <w:r>
        <w:rPr/>
        <w:t xml:space="preserve">(5)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(6)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(7)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(8)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maintain, and refine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2025,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must convene a technical work group that includes the following representatives:</w:t>
      </w:r>
    </w:p>
    <w:p>
      <w:pPr>
        <w:spacing w:before="0" w:after="0" w:line="408" w:lineRule="exact"/>
        <w:ind w:left="0" w:right="0" w:firstLine="576"/>
        <w:jc w:val="left"/>
      </w:pPr>
      <w:r>
        <w:rPr/>
        <w:t xml:space="preserve">(a) One industry professional in design, one industry professional in structural design, one industry professional in specification, and one industry professional in construction who are recommended by leading associations of Washington business;</w:t>
      </w:r>
    </w:p>
    <w:p>
      <w:pPr>
        <w:spacing w:before="0" w:after="0" w:line="408" w:lineRule="exact"/>
        <w:ind w:left="0" w:right="0" w:firstLine="576"/>
        <w:jc w:val="left"/>
      </w:pPr>
      <w:r>
        <w:rPr/>
        <w:t xml:space="preserve">(b) Two representatives each from Washington manufacturers of:</w:t>
      </w:r>
    </w:p>
    <w:p>
      <w:pPr>
        <w:spacing w:before="0" w:after="0" w:line="408" w:lineRule="exact"/>
        <w:ind w:left="0" w:right="0" w:firstLine="576"/>
        <w:jc w:val="left"/>
      </w:pPr>
      <w:r>
        <w:rPr/>
        <w:t xml:space="preserve">(i) Steel;</w:t>
      </w:r>
    </w:p>
    <w:p>
      <w:pPr>
        <w:spacing w:before="0" w:after="0" w:line="408" w:lineRule="exact"/>
        <w:ind w:left="0" w:right="0" w:firstLine="576"/>
        <w:jc w:val="left"/>
      </w:pPr>
      <w:r>
        <w:rPr/>
        <w:t xml:space="preserve">(ii) Wood; and</w:t>
      </w:r>
    </w:p>
    <w:p>
      <w:pPr>
        <w:spacing w:before="0" w:after="0" w:line="408" w:lineRule="exact"/>
        <w:ind w:left="0" w:right="0" w:firstLine="576"/>
        <w:jc w:val="left"/>
      </w:pPr>
      <w:r>
        <w:rPr/>
        <w:t xml:space="preserve">(iii) Concrete;</w:t>
      </w:r>
    </w:p>
    <w:p>
      <w:pPr>
        <w:spacing w:before="0" w:after="0" w:line="408" w:lineRule="exact"/>
        <w:ind w:left="0" w:right="0" w:firstLine="576"/>
        <w:jc w:val="left"/>
      </w:pPr>
      <w:r>
        <w:rPr/>
        <w:t xml:space="preserve">(c) A representative from the department of enterprise services;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department of ecology;</w:t>
      </w:r>
    </w:p>
    <w:p>
      <w:pPr>
        <w:spacing w:before="0" w:after="0" w:line="408" w:lineRule="exact"/>
        <w:ind w:left="0" w:right="0" w:firstLine="576"/>
        <w:jc w:val="left"/>
      </w:pPr>
      <w:r>
        <w:rPr/>
        <w:t xml:space="preserve">(f) One representative each from three environmental groups that focus on embodied carbon and climate change;</w:t>
      </w:r>
    </w:p>
    <w:p>
      <w:pPr>
        <w:spacing w:before="0" w:after="0" w:line="408" w:lineRule="exact"/>
        <w:ind w:left="0" w:right="0" w:firstLine="576"/>
        <w:jc w:val="left"/>
      </w:pPr>
      <w:r>
        <w:rPr/>
        <w:t xml:space="preserve">(g) Three representatives from labor unions, including two from unions that represent manufacturing workers and one representative from the building and construction trades;</w:t>
      </w:r>
    </w:p>
    <w:p>
      <w:pPr>
        <w:spacing w:before="0" w:after="0" w:line="408" w:lineRule="exact"/>
        <w:ind w:left="0" w:right="0" w:firstLine="576"/>
        <w:jc w:val="left"/>
      </w:pPr>
      <w:r>
        <w:rPr/>
        <w:t xml:space="preserve">(h) A representative from the minority and women-owned business community;</w:t>
      </w:r>
    </w:p>
    <w:p>
      <w:pPr>
        <w:spacing w:before="0" w:after="0" w:line="408" w:lineRule="exact"/>
        <w:ind w:left="0" w:right="0" w:firstLine="576"/>
        <w:jc w:val="left"/>
      </w:pPr>
      <w:r>
        <w:rPr/>
        <w:t xml:space="preserve">(i) A representative from the University of Washington college of built environments; and</w:t>
      </w:r>
    </w:p>
    <w:p>
      <w:pPr>
        <w:spacing w:before="0" w:after="0" w:line="408" w:lineRule="exact"/>
        <w:ind w:left="0" w:right="0" w:firstLine="576"/>
        <w:jc w:val="left"/>
      </w:pPr>
      <w:r>
        <w:rPr/>
        <w:t xml:space="preserve">(j) Representatives of other agencies and independent experts as necessary to meet the objectives of the technical work group as described in this section.</w:t>
      </w:r>
    </w:p>
    <w:p>
      <w:pPr>
        <w:spacing w:before="0" w:after="0" w:line="408" w:lineRule="exact"/>
        <w:ind w:left="0" w:right="0" w:firstLine="576"/>
        <w:jc w:val="left"/>
      </w:pPr>
      <w:r>
        <w:rPr/>
        <w:t xml:space="preserve">(2) The department may form subgroups with members who have subject matter expertise or industry experience to develop technical information, recommendations, and analysis specific to individual material types, and the feasibility of supply chain specific environmental product declarations. The recommendations must, where possible, align with state and national principles and laws for environmental product declaration development.</w:t>
      </w:r>
    </w:p>
    <w:p>
      <w:pPr>
        <w:spacing w:before="0" w:after="0" w:line="408" w:lineRule="exact"/>
        <w:ind w:left="0" w:right="0" w:firstLine="576"/>
        <w:jc w:val="left"/>
      </w:pPr>
      <w:r>
        <w:rPr/>
        <w:t xml:space="preserve">(3) The department may contract with the University of Washington college of built environments in convening the technical work group.</w:t>
      </w:r>
    </w:p>
    <w:p>
      <w:pPr>
        <w:spacing w:before="0" w:after="0" w:line="408" w:lineRule="exact"/>
        <w:ind w:left="0" w:right="0" w:firstLine="576"/>
        <w:jc w:val="left"/>
      </w:pPr>
      <w:r>
        <w:rPr/>
        <w:t xml:space="preserve">(4) The purpose of the technical work group is to identify opportunities for and barriers to growth of the use and production of low carbon materials, promote high labor standards in manufacturing, and preserve and expand low carbon materials manufacturing in Washington.</w:t>
      </w:r>
    </w:p>
    <w:p>
      <w:pPr>
        <w:spacing w:before="0" w:after="0" w:line="408" w:lineRule="exact"/>
        <w:ind w:left="0" w:right="0" w:firstLine="576"/>
        <w:jc w:val="left"/>
      </w:pPr>
      <w:r>
        <w:rPr/>
        <w:t xml:space="preserve">(5) By September 1, 2025, the technical work group must submit a report to the legislature and the governor that includes:</w:t>
      </w:r>
    </w:p>
    <w:p>
      <w:pPr>
        <w:spacing w:before="0" w:after="0" w:line="408" w:lineRule="exact"/>
        <w:ind w:left="0" w:right="0" w:firstLine="576"/>
        <w:jc w:val="left"/>
      </w:pPr>
      <w:r>
        <w:rPr/>
        <w:t xml:space="preserve">(a) A low carbon materials manufacturing plan that recommends policies to preserve and grow the in-state manufacturing of low carbon materials and accelerate industrial decarbonization. For this plan, the technical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(b) Recommendations for consistent treatment in the reporting for covered products; and</w:t>
      </w:r>
    </w:p>
    <w:p>
      <w:pPr>
        <w:spacing w:before="0" w:after="0" w:line="408" w:lineRule="exact"/>
        <w:ind w:left="0" w:right="0" w:firstLine="576"/>
        <w:jc w:val="left"/>
      </w:pPr>
      <w:r>
        <w:rPr/>
        <w:t xml:space="preserve">(c) Consideration of how additional information relevant to reducing embodied carbon through strategies including, but not limited to, product life-cycle assessments could be incorporated into future reporting.</w:t>
      </w:r>
    </w:p>
    <w:p>
      <w:pPr>
        <w:spacing w:before="0" w:after="0" w:line="408" w:lineRule="exact"/>
        <w:ind w:left="0" w:right="0" w:firstLine="576"/>
        <w:jc w:val="left"/>
      </w:pPr>
      <w:r>
        <w:rPr/>
        <w:t xml:space="preserve">(6)(a) By September 1, 2026, the technical work group must submit a report on policy recommendations, including any statutory changes needed, to the legislature and the governor. The report must consider policies to expand the use and production of low carbon materials, preserve and expand low carbon materials manufacturing in Washington, including opportunities to encourage continued conversion to lower carbon blended cements in public projects, and support living wage manufacturing jobs.</w:t>
      </w:r>
    </w:p>
    <w:p>
      <w:pPr>
        <w:spacing w:before="0" w:after="0" w:line="408" w:lineRule="exact"/>
        <w:ind w:left="0" w:right="0" w:firstLine="576"/>
        <w:jc w:val="left"/>
      </w:pPr>
      <w:r>
        <w:rPr/>
        <w:t xml:space="preserve">(b) For this report, the technical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The summary must include product quantities, global warming potential, health product declarations, supplier codes of conduct, and any obstacles to the implementation of this chapter;</w:t>
      </w:r>
    </w:p>
    <w:p>
      <w:pPr>
        <w:spacing w:before="0" w:after="0" w:line="408" w:lineRule="exact"/>
        <w:ind w:left="0" w:right="0" w:firstLine="576"/>
        <w:jc w:val="left"/>
      </w:pPr>
      <w:r>
        <w:rPr/>
        <w:t xml:space="preserve">(ii) Evaluate options for collecting reported working condition information from product suppliers, including hourly wages, employee benefits, and total case incident rates, and for aligning these reporting requirements with existing reporting requirements for preferential tax rates, credits, exemptions, and deferrals;</w:t>
      </w:r>
    </w:p>
    <w:p>
      <w:pPr>
        <w:spacing w:before="0" w:after="0" w:line="408" w:lineRule="exact"/>
        <w:ind w:left="0" w:right="0" w:firstLine="576"/>
        <w:jc w:val="left"/>
      </w:pPr>
      <w:r>
        <w:rPr/>
        <w:t xml:space="preserve">(iii)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(iv)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(v) Identify barriers and opportunities to the effective use of the database maintained under section 5 of this act and the data collected pursuant to this chapter;</w:t>
      </w:r>
    </w:p>
    <w:p>
      <w:pPr>
        <w:spacing w:before="0" w:after="0" w:line="408" w:lineRule="exact"/>
        <w:ind w:left="0" w:right="0" w:firstLine="576"/>
        <w:jc w:val="left"/>
      </w:pPr>
      <w:r>
        <w:rPr/>
        <w:t xml:space="preserve">(vi) Identify emerging and foreseeable trends in local, state, federal, and private policy on embodied carbon and the procurement and use of low carbon materials and opportunities to promote consistency across public and private embodied carbon and low carbon materials policies, rules, and regulations; and</w:t>
      </w:r>
    </w:p>
    <w:p>
      <w:pPr>
        <w:spacing w:before="0" w:after="0" w:line="408" w:lineRule="exact"/>
        <w:ind w:left="0" w:right="0" w:firstLine="576"/>
        <w:jc w:val="left"/>
      </w:pPr>
      <w:r>
        <w:rPr/>
        <w:t xml:space="preserve">(vii) Recommend approaches to designing lower embodied carbon state building projects.</w:t>
      </w:r>
    </w:p>
    <w:p>
      <w:pPr>
        <w:spacing w:before="0" w:after="0" w:line="408" w:lineRule="exact"/>
        <w:ind w:left="0" w:right="0" w:firstLine="576"/>
        <w:jc w:val="left"/>
      </w:pPr>
      <w:r>
        <w:rPr/>
        <w:t xml:space="preserve">(7)(a) The department may update reporting standards and requirements based on input from the technical work group.</w:t>
      </w:r>
    </w:p>
    <w:p>
      <w:pPr>
        <w:spacing w:before="0" w:after="0" w:line="408" w:lineRule="exact"/>
        <w:ind w:left="0" w:right="0" w:firstLine="576"/>
        <w:jc w:val="left"/>
      </w:pPr>
      <w:r>
        <w:rPr/>
        <w:t xml:space="preserve">(b) The department must provide updated guidance on reporting standards by January 1, 2027.</w:t>
      </w:r>
    </w:p>
    <w:p>
      <w:pPr>
        <w:spacing w:before="0" w:after="0" w:line="408" w:lineRule="exact"/>
        <w:ind w:left="0" w:right="0" w:firstLine="576"/>
        <w:jc w:val="left"/>
      </w:pPr>
      <w:r>
        <w:rPr/>
        <w:t xml:space="preserve">(8)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w:t>
      </w:r>
      <w:r>
        <w:t>((</w:t>
      </w:r>
      <w:r>
        <w:rPr>
          <w:strike/>
        </w:rPr>
        <w:t xml:space="preserve">, beginning with its instructions for the 2003-05 capital budget,</w:t>
      </w:r>
      <w:r>
        <w:t>))</w:t>
      </w:r>
      <w:r>
        <w:rPr/>
        <w:t xml:space="preserve">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Extends by one year the dates for: The start of required data reporting for covered projects; implementation of additional contractual requirements for awarding authorities; and the convening, reporting, and expiration of the technical work group.</w:t>
      </w:r>
    </w:p>
    <w:p>
      <w:pPr>
        <w:spacing w:before="0" w:after="0" w:line="408" w:lineRule="exact"/>
        <w:ind w:left="0" w:right="0" w:firstLine="576"/>
        <w:jc w:val="left"/>
      </w:pPr>
      <w:r>
        <w:rPr/>
        <w:t xml:space="preserve">• Clarifies that environmental product declarations must be supply chain specific when available rather than to the extent feasible.</w:t>
      </w:r>
    </w:p>
    <w:p>
      <w:pPr>
        <w:spacing w:before="0" w:after="0" w:line="408" w:lineRule="exact"/>
        <w:ind w:left="0" w:right="0" w:firstLine="576"/>
        <w:jc w:val="left"/>
      </w:pPr>
      <w:r>
        <w:rPr/>
        <w:t xml:space="preserve">• Specifies that the data submitted for covered projects are the minimum requirements.</w:t>
      </w:r>
    </w:p>
    <w:p>
      <w:pPr>
        <w:spacing w:before="0" w:after="0" w:line="408" w:lineRule="exact"/>
        <w:ind w:left="0" w:right="0" w:firstLine="576"/>
        <w:jc w:val="left"/>
      </w:pPr>
      <w:r>
        <w:rPr/>
        <w:t xml:space="preserve">• Requires the Department of Commerce (Commerce) to refine, in addition to develop and maintain, the publicly accessible database funded by the legislature.</w:t>
      </w:r>
    </w:p>
    <w:p>
      <w:pPr>
        <w:spacing w:before="0" w:after="0" w:line="408" w:lineRule="exact"/>
        <w:ind w:left="0" w:right="0" w:firstLine="576"/>
        <w:jc w:val="left"/>
      </w:pPr>
      <w:r>
        <w:rPr/>
        <w:t xml:space="preserve">• Requires Commerce to consult with the University of Washington college of built environments when developing, maintaining, and refining the publicly available database.</w:t>
      </w:r>
    </w:p>
    <w:p>
      <w:pPr>
        <w:spacing w:before="0" w:after="0" w:line="408" w:lineRule="exact"/>
        <w:ind w:left="0" w:right="0" w:firstLine="576"/>
        <w:jc w:val="left"/>
      </w:pPr>
      <w:r>
        <w:rPr/>
        <w:t xml:space="preserve">• Changes the number of representatives from Washington manufacturers on the technical work group from a total of three to a total of six.</w:t>
      </w:r>
    </w:p>
    <w:p>
      <w:pPr>
        <w:spacing w:before="0" w:after="0" w:line="408" w:lineRule="exact"/>
        <w:ind w:left="0" w:right="0" w:firstLine="576"/>
        <w:jc w:val="left"/>
      </w:pPr>
      <w:r>
        <w:rPr/>
        <w:t xml:space="preserve">• Changes the number of representatives from labor unions on the work group from one to three.</w:t>
      </w:r>
    </w:p>
    <w:p>
      <w:pPr>
        <w:spacing w:before="0" w:after="0" w:line="408" w:lineRule="exact"/>
        <w:ind w:left="0" w:right="0" w:firstLine="576"/>
        <w:jc w:val="left"/>
      </w:pPr>
      <w:r>
        <w:rPr/>
        <w:t xml:space="preserve">• Allows Commerce to form subgroups for the technical work group with members who have subject matter expertise or industry experience.</w:t>
      </w:r>
    </w:p>
    <w:p>
      <w:pPr>
        <w:spacing w:before="0" w:after="0" w:line="408" w:lineRule="exact"/>
        <w:ind w:left="0" w:right="0" w:firstLine="576"/>
        <w:jc w:val="left"/>
      </w:pPr>
      <w:r>
        <w:rPr/>
        <w:t xml:space="preserve">• Allows Commerce to contract with the University of Washington college of built environments in convening the work group.</w:t>
      </w:r>
    </w:p>
    <w:p>
      <w:pPr>
        <w:spacing w:before="0" w:after="0" w:line="408" w:lineRule="exact"/>
        <w:ind w:left="0" w:right="0" w:firstLine="576"/>
        <w:jc w:val="left"/>
      </w:pPr>
      <w:r>
        <w:rPr/>
        <w:t xml:space="preserve">• Modifies the work group's first report by also requiring the consideration of how additional information relevant to reducing embodied carbon through strategies including, but not limited to, product life-cycle adjustments could be incorporated into future reporting.</w:t>
      </w:r>
    </w:p>
    <w:p>
      <w:pPr>
        <w:spacing w:before="0" w:after="0" w:line="408" w:lineRule="exact"/>
        <w:ind w:left="0" w:right="0" w:firstLine="576"/>
        <w:jc w:val="left"/>
      </w:pPr>
      <w:r>
        <w:rPr/>
        <w:t xml:space="preserve">• Modifies the work group's second report by also requiring the consideration of policies to support living wage manufacturing jobs and the evaluation of options for aligning these reporting requirements with existing reporting requirements for preferential tax rates, credits, exemptions, and deferrals.</w:t>
      </w:r>
    </w:p>
    <w:p>
      <w:pPr>
        <w:spacing w:before="0" w:after="0" w:line="408" w:lineRule="exact"/>
        <w:ind w:left="0" w:right="0" w:firstLine="576"/>
        <w:jc w:val="left"/>
      </w:pPr>
      <w:r>
        <w:rPr/>
        <w:t xml:space="preserve">• Authorizes Commerce to update reporting standards and requirements based on input from the work group and requires Commerce to provide updated guidance on reporting standards by January 1, 2027.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6c552cf22a4821" /></Relationships>
</file>