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b3c0d0af9249db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1757.E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CORR</w:t>
        </w:r>
      </w:r>
      <w:r>
        <w:rPr>
          <w:b/>
        </w:rPr>
        <w:t xml:space="preserve"> </w:t>
        <w:r>
          <w:rPr/>
          <w:t xml:space="preserve">H2553.2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EHB 1757</w:t>
      </w:r>
      <w:r>
        <w:t xml:space="preserve"> -</w:t>
      </w:r>
      <w:r>
        <w:t xml:space="preserve"> </w:t>
        <w:t xml:space="preserve">H AMD</w:t>
      </w:r>
      <w:r>
        <w:t xml:space="preserve"> </w:t>
      </w:r>
      <w:r>
        <w:rPr>
          <w:b/>
        </w:rPr>
        <w:t xml:space="preserve">780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Corry</w:t>
      </w:r>
    </w:p>
    <w:p>
      <w:pPr>
        <w:jc w:val="right"/>
      </w:pPr>
      <w:r>
        <w:rPr>
          <w:b/>
        </w:rPr>
        <w:t xml:space="preserve">ADOPTED 01/11/2024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21, after "January 1," strike "2029" and insert "2030"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beginning on line 1, after "farmer"" strike "has the same meaning as" and insert "means a farmer performing custom farming services or farm management services, as those terms are defined"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11, after "effect" strike "August 1, 2023" and insert "July 1, 2024"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Clarifies that an eligible farmer may be performing custom farming or farm management services to claim the sales and use tax exemption. Updates the dates for claiming the exemption.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5bbced87d34152" /></Relationships>
</file>