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545d929344a0b" /></Relationships>
</file>

<file path=word/document.xml><?xml version="1.0" encoding="utf-8"?>
<w:document xmlns:w="http://schemas.openxmlformats.org/wordprocessingml/2006/main">
  <w:body>
    <w:p>
      <w:r>
        <w:rPr>
          <w:b/>
        </w:rPr>
        <w:r>
          <w:rPr/>
          <w:t xml:space="preserve">1789-S</w:t>
        </w:r>
      </w:r>
      <w:r>
        <w:rPr>
          <w:b/>
        </w:rPr>
        <w:t xml:space="preserve"> </w:t>
        <w:t xml:space="preserve">AMH</w:t>
      </w:r>
      <w:r>
        <w:rPr>
          <w:b/>
        </w:rPr>
        <w:t xml:space="preserve"> </w:t>
        <w:r>
          <w:rPr/>
          <w:t xml:space="preserve">REEV</w:t>
        </w:r>
      </w:r>
      <w:r>
        <w:rPr>
          <w:b/>
        </w:rPr>
        <w:t xml:space="preserve"> </w:t>
        <w:r>
          <w:rPr/>
          <w:t xml:space="preserve">H1639.2</w:t>
        </w:r>
      </w:r>
      <w:r>
        <w:rPr>
          <w:b/>
        </w:rPr>
        <w:t xml:space="preserve"> - NOT FOR FLOOR USE</w:t>
      </w:r>
    </w:p>
    <w:p>
      <w:pPr>
        <w:ind w:left="0" w:right="0" w:firstLine="576"/>
      </w:pPr>
    </w:p>
    <w:p>
      <w:pPr>
        <w:spacing w:before="480" w:after="0" w:line="408" w:lineRule="exact"/>
      </w:pPr>
      <w:r>
        <w:rPr>
          <w:b/>
          <w:u w:val="single"/>
        </w:rPr>
        <w:t xml:space="preserve">SHB 1789</w:t>
      </w:r>
      <w:r>
        <w:t xml:space="preserve"> -</w:t>
      </w:r>
      <w:r>
        <w:t xml:space="preserve"> </w:t>
        <w:t xml:space="preserve">H AMD</w:t>
      </w:r>
      <w:r>
        <w:t xml:space="preserve"> </w:t>
      </w:r>
      <w:r>
        <w:rPr>
          <w:b/>
        </w:rPr>
        <w:t xml:space="preserve">349</w:t>
      </w:r>
    </w:p>
    <w:p>
      <w:pPr>
        <w:spacing w:before="0" w:after="0" w:line="408" w:lineRule="exact"/>
        <w:ind w:left="0" w:right="0" w:firstLine="576"/>
        <w:jc w:val="left"/>
      </w:pPr>
      <w:r>
        <w:rPr/>
        <w:t xml:space="preserve">By Representative Reeves</w:t>
      </w:r>
    </w:p>
    <w:p>
      <w:pPr>
        <w:jc w:val="right"/>
      </w:pPr>
      <w:r>
        <w:rPr>
          <w:b/>
        </w:rPr>
        <w:t xml:space="preserve">ADOPTED AS AMENDED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"Ecosystem service credit" means a predetermined and standardized unit that represents a measurable ecosystem service provided in the context of a payment for an ecosystem service project.</w:t>
      </w:r>
    </w:p>
    <w:p>
      <w:pPr>
        <w:spacing w:before="0" w:after="0" w:line="408" w:lineRule="exact"/>
        <w:ind w:left="0" w:right="0" w:firstLine="576"/>
        <w:jc w:val="left"/>
      </w:pPr>
      <w:r>
        <w:rPr/>
        <w:t xml:space="preserve">(2) "Ecosystem service marketplace" has the same meaning as "ecosystem services market" as defined in RCW 76.09.020.</w:t>
      </w:r>
    </w:p>
    <w:p>
      <w:pPr>
        <w:spacing w:before="0" w:after="0" w:line="408" w:lineRule="exact"/>
        <w:ind w:left="0" w:right="0" w:firstLine="576"/>
        <w:jc w:val="left"/>
      </w:pPr>
      <w:r>
        <w:rPr/>
        <w:t xml:space="preserve">(3) "Ecosystem service project broker" means an entity that facilitates the process of matching ecosystem service providers and purchasers of ecosystem service project credits. An ecosystem service project broker may sell or procure credits on their clients' behalf and provide financing and marketing expertise. Ecosystem service project brokers may also act as ecosystem service project developers.</w:t>
      </w:r>
    </w:p>
    <w:p>
      <w:pPr>
        <w:spacing w:before="0" w:after="0" w:line="408" w:lineRule="exact"/>
        <w:ind w:left="0" w:right="0" w:firstLine="576"/>
        <w:jc w:val="left"/>
      </w:pPr>
      <w:r>
        <w:rPr/>
        <w:t xml:space="preserve">(4) "Ecosystem service project developer" means an entity that sources and initiates ecosystem service projects on behalf of the ecosystem service provider including, but not limited to, by working with ecosystem service project standards and verification bodies, bearing financial risks of projects, and working with a network of distributors and retailers to deliver auditable ecosystem service project credits to a marketplace. An ecosystem service project developer may also act as an ecosystem service project broker.</w:t>
      </w:r>
    </w:p>
    <w:p>
      <w:pPr>
        <w:spacing w:before="0" w:after="0" w:line="408" w:lineRule="exact"/>
        <w:ind w:left="0" w:right="0" w:firstLine="576"/>
        <w:jc w:val="left"/>
      </w:pPr>
      <w:r>
        <w:rPr/>
        <w:t xml:space="preserve">(5)(a)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projects that are consistent with the policies outlined in RCW 70A.45.090, air and water filtration, climate stabilization, and disturbance mitigation.</w:t>
      </w:r>
    </w:p>
    <w:p>
      <w:pPr>
        <w:spacing w:before="0" w:after="0" w:line="408" w:lineRule="exact"/>
        <w:ind w:left="0" w:right="0" w:firstLine="576"/>
        <w:jc w:val="left"/>
      </w:pPr>
      <w:r>
        <w:rPr/>
        <w:t xml:space="preserve">(6) "Payment for ecosystem service project" means a transaction within an ecosystem service marketplace that transfers financial incentives to ecosystem service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 projects on public lands, consistent with this chapter and other relevant laws, on terms and conditions acceptable to the department, after approval by the board of natural resources, only for the purpose of generating additional revenue by providing ecosystem services. Any ecosystem service project on state lands or state forestlands:</w:t>
      </w:r>
    </w:p>
    <w:p>
      <w:pPr>
        <w:spacing w:before="0" w:after="0" w:line="408" w:lineRule="exact"/>
        <w:ind w:left="0" w:right="0" w:firstLine="576"/>
        <w:jc w:val="left"/>
      </w:pPr>
      <w:r>
        <w:rPr/>
        <w:t xml:space="preserve">(a) Must be limited, except as provided in section 3 of this act, to:</w:t>
      </w:r>
    </w:p>
    <w:p>
      <w:pPr>
        <w:spacing w:before="0" w:after="0" w:line="408" w:lineRule="exact"/>
        <w:ind w:left="0" w:right="0" w:firstLine="576"/>
        <w:jc w:val="left"/>
      </w:pPr>
      <w:r>
        <w:rPr/>
        <w:t xml:space="preserve">(i) Afforestation;</w:t>
      </w:r>
    </w:p>
    <w:p>
      <w:pPr>
        <w:spacing w:before="0" w:after="0" w:line="408" w:lineRule="exact"/>
        <w:ind w:left="0" w:right="0" w:firstLine="576"/>
        <w:jc w:val="left"/>
      </w:pPr>
      <w:r>
        <w:rPr/>
        <w:t xml:space="preserve">(ii) Reforestation;</w:t>
      </w:r>
    </w:p>
    <w:p>
      <w:pPr>
        <w:spacing w:before="0" w:after="0" w:line="408" w:lineRule="exact"/>
        <w:ind w:left="0" w:right="0" w:firstLine="576"/>
        <w:jc w:val="left"/>
      </w:pPr>
      <w:r>
        <w:rPr/>
        <w:t xml:space="preserve">(iii) Silvicultural treatments, such as commercial or precommercial thinning operations, that does not increase rotation lengths or reduce final harvest volumes;</w:t>
      </w:r>
    </w:p>
    <w:p>
      <w:pPr>
        <w:spacing w:before="0" w:after="0" w:line="408" w:lineRule="exact"/>
        <w:ind w:left="0" w:right="0" w:firstLine="576"/>
        <w:jc w:val="left"/>
      </w:pPr>
      <w:r>
        <w:rPr/>
        <w:t xml:space="preserve">(iv) Forest restoration investments that increase overall harvest volume;</w:t>
      </w:r>
    </w:p>
    <w:p>
      <w:pPr>
        <w:spacing w:before="0" w:after="0" w:line="408" w:lineRule="exact"/>
        <w:ind w:left="0" w:right="0" w:firstLine="576"/>
        <w:jc w:val="left"/>
      </w:pPr>
      <w:r>
        <w:rPr/>
        <w:t xml:space="preserve">(v) Avoided conversion of forest and agricultural lands to another land use;</w:t>
      </w:r>
    </w:p>
    <w:p>
      <w:pPr>
        <w:spacing w:before="0" w:after="0" w:line="408" w:lineRule="exact"/>
        <w:ind w:left="0" w:right="0" w:firstLine="576"/>
        <w:jc w:val="left"/>
      </w:pPr>
      <w:r>
        <w:rPr/>
        <w:t xml:space="preserve">(vi) Urban forest management;</w:t>
      </w:r>
    </w:p>
    <w:p>
      <w:pPr>
        <w:spacing w:before="0" w:after="0" w:line="408" w:lineRule="exact"/>
        <w:ind w:left="0" w:right="0" w:firstLine="576"/>
        <w:jc w:val="left"/>
      </w:pPr>
      <w:r>
        <w:rPr/>
        <w:t xml:space="preserve">(vii) Urban tree planting; and</w:t>
      </w:r>
    </w:p>
    <w:p>
      <w:pPr>
        <w:spacing w:before="0" w:after="0" w:line="408" w:lineRule="exact"/>
        <w:ind w:left="0" w:right="0" w:firstLine="576"/>
        <w:jc w:val="left"/>
      </w:pPr>
      <w:r>
        <w:rPr/>
        <w:t xml:space="preserve">(viii) The production and use of biochar for soil amendments;</w:t>
      </w:r>
    </w:p>
    <w:p>
      <w:pPr>
        <w:spacing w:before="0" w:after="0" w:line="408" w:lineRule="exact"/>
        <w:ind w:left="0" w:right="0" w:firstLine="576"/>
        <w:jc w:val="left"/>
      </w:pPr>
      <w:r>
        <w:rPr/>
        <w:t xml:space="preserve">(b) Must be consistent with the policies outlined in RCW 70A.45.090;</w:t>
      </w:r>
    </w:p>
    <w:p>
      <w:pPr>
        <w:spacing w:before="0" w:after="0" w:line="408" w:lineRule="exact"/>
        <w:ind w:left="0" w:right="0" w:firstLine="576"/>
        <w:jc w:val="left"/>
      </w:pPr>
      <w:r>
        <w:rPr/>
        <w:t xml:space="preserve">(c) Must support the workforce development goals and investments made under RCW 76.04.521;</w:t>
      </w:r>
    </w:p>
    <w:p>
      <w:pPr>
        <w:spacing w:before="0" w:after="0" w:line="408" w:lineRule="exact"/>
        <w:ind w:left="0" w:right="0" w:firstLine="576"/>
        <w:jc w:val="left"/>
      </w:pPr>
      <w:r>
        <w:rPr/>
        <w:t xml:space="preserve">(d) May not be inconsistent with ongoing forest health planning efforts and investments such as expenditures from the wildfire response, forest restoration, and community resilience account created in RCW 76.04.511;</w:t>
      </w:r>
    </w:p>
    <w:p>
      <w:pPr>
        <w:spacing w:before="0" w:after="0" w:line="408" w:lineRule="exact"/>
        <w:ind w:left="0" w:right="0" w:firstLine="576"/>
        <w:jc w:val="left"/>
      </w:pPr>
      <w:r>
        <w:rPr/>
        <w:t xml:space="preserve">(e) Must result in an increase in revenue to beneficiaries as compared to expected revenue that may exist in absence of the underlying ecosystem service project; and</w:t>
      </w:r>
    </w:p>
    <w:p>
      <w:pPr>
        <w:spacing w:before="0" w:after="0" w:line="408" w:lineRule="exact"/>
        <w:ind w:left="0" w:right="0" w:firstLine="576"/>
        <w:jc w:val="left"/>
      </w:pPr>
      <w:r>
        <w:rPr/>
        <w:t xml:space="preserve">(f) May not limit or impair the exercise of tribal treaty and reserved rights, existing tribal access to lands managed by the department, or preexisting agreements between tribes and the department. </w:t>
      </w:r>
    </w:p>
    <w:p>
      <w:pPr>
        <w:spacing w:before="0" w:after="0" w:line="408" w:lineRule="exact"/>
        <w:ind w:left="0" w:right="0" w:firstLine="576"/>
        <w:jc w:val="left"/>
      </w:pPr>
      <w:r>
        <w:rPr/>
        <w:t xml:space="preserve">(2) The contract term under this section may represent the sale or lease of ecosystem service credits and may not last for a period of longer than 125 years. Proceeds from contracts for ecosystem services must be deposited into the appropriate account in the state treasury.</w:t>
      </w:r>
    </w:p>
    <w:p>
      <w:pPr>
        <w:spacing w:before="0" w:after="0" w:line="408" w:lineRule="exact"/>
        <w:ind w:left="0" w:right="0" w:firstLine="576"/>
        <w:jc w:val="left"/>
      </w:pPr>
      <w:r>
        <w:rPr/>
        <w:t xml:space="preserve">(3) The authority of the department to enter into a contract that results in payments for ecosystem service projects under subsection (1) of this section is conditional on any specific project being consistent with the department's management of the underlying public land for agriculture or commercial timber harvest and ensure the department meets its fiduciary responsibility to the state's trust beneficiaries. Any ecosystem service project, or the sum of all ecosystem service projects, other than the projects authorized under section 3 of this act, may not prevent the department from managing state lands and state forestlands for sustained yield as required by RCW 79.10.310.</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Directly offer for sale ecosystem service credits, consistent with this section, with established compliance ecosystem service marketplaces or verifiable and established voluntary ecosystem service marketplace;</w:t>
      </w:r>
    </w:p>
    <w:p>
      <w:pPr>
        <w:spacing w:before="0" w:after="0" w:line="408" w:lineRule="exact"/>
        <w:ind w:left="0" w:right="0" w:firstLine="576"/>
        <w:jc w:val="left"/>
      </w:pPr>
      <w:r>
        <w:rPr/>
        <w:t xml:space="preserve">(b) Enter into contracts with ecosystem service project developers or brokers, through public auction or by direct negotiation, to bring ecosystem service credits to market. Contracts for ecosystem services are subject to approval by, and the rules adopted by, the board.</w:t>
      </w:r>
    </w:p>
    <w:p>
      <w:pPr>
        <w:spacing w:before="0" w:after="0" w:line="408" w:lineRule="exact"/>
        <w:ind w:left="0" w:right="0" w:firstLine="576"/>
        <w:jc w:val="left"/>
      </w:pPr>
      <w:r>
        <w:rPr/>
        <w:t xml:space="preserve">(5)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(6) The department is authorized to conduct any additional advertising that it determines to be in the best interest of the state.</w:t>
      </w:r>
    </w:p>
    <w:p>
      <w:pPr>
        <w:spacing w:before="0" w:after="0" w:line="408" w:lineRule="exact"/>
        <w:ind w:left="0" w:right="0" w:firstLine="576"/>
        <w:jc w:val="left"/>
      </w:pPr>
      <w:r>
        <w:rPr/>
        <w:t xml:space="preserve">(7) The department may enter into contracts or agreements with third-party ecosystem service project developers or brokers for purposes that include, but are not limited to, determining the feasibility of entering into a contract for a payment for an ecosystem service project, establishing a payment for an ecosystem service project with an ecosystem service marketplace, and marketing and selling credits on an established ecosystem service marketplace.</w:t>
      </w:r>
    </w:p>
    <w:p>
      <w:pPr>
        <w:spacing w:before="0" w:after="0" w:line="408" w:lineRule="exact"/>
        <w:ind w:left="0" w:right="0" w:firstLine="576"/>
        <w:jc w:val="left"/>
      </w:pPr>
      <w:r>
        <w:rPr/>
        <w:t xml:space="preserve">(8) The department must provide a report to the board upon execution of a contract for a payment for an ecosystem service project that includes the term of the contract and projected revenues.</w:t>
      </w:r>
    </w:p>
    <w:p>
      <w:pPr>
        <w:spacing w:before="0" w:after="0" w:line="408" w:lineRule="exact"/>
        <w:ind w:left="0" w:right="0" w:firstLine="576"/>
        <w:jc w:val="left"/>
      </w:pPr>
      <w:r>
        <w:rPr/>
        <w:t xml:space="preserve">(9)(a) Before entering into the sale of ecosystem service credits under this section, the board must find that the conditions of this section are satisfied and approve contract terms and a minimum payment for ecosystem services that is valid for a period of 180 days, or a longer period as may be established by resolution.</w:t>
      </w:r>
    </w:p>
    <w:p>
      <w:pPr>
        <w:spacing w:before="0" w:after="0" w:line="408" w:lineRule="exact"/>
        <w:ind w:left="0" w:right="0" w:firstLine="576"/>
        <w:jc w:val="left"/>
      </w:pPr>
      <w:r>
        <w:rPr/>
        <w:t xml:space="preserve">(b) Where the board has set a minimum payment for ecosystem service credits, the department may set the final payment for ecosystem service credits, which must be based on current market prices. The board may reestablish the minimum payment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the department is authorized to enter into contracts for payment for ecosystem service projects on no more than 10,000 operable acres of state lands or state forestlands, inclusive of any credits required for buffer pools or other contingencies. Projects under this section are not limited to the project types identified in section 2(1)(a) of this act; however, these projects, as a condition of contract, must have a determinate harvest schedule if projects are on forested state lands or state forestlands. The authority provided in this section is conditional on the department replacing any timber volume and timber value on lands subject to the underlying ecosystem service project, during the term of the project, that may be constrained by the terms of the project.</w:t>
      </w:r>
    </w:p>
    <w:p>
      <w:pPr>
        <w:spacing w:before="0" w:after="0" w:line="408" w:lineRule="exact"/>
        <w:ind w:left="0" w:right="0" w:firstLine="576"/>
        <w:jc w:val="left"/>
      </w:pPr>
      <w:r>
        <w:rPr/>
        <w:t xml:space="preserve">(2)(a) To replace foregone timber volume and value under this section, the department must, prior to the finalization of a contract under this section:</w:t>
      </w:r>
    </w:p>
    <w:p>
      <w:pPr>
        <w:spacing w:before="0" w:after="0" w:line="408" w:lineRule="exact"/>
        <w:ind w:left="0" w:right="0" w:firstLine="576"/>
        <w:jc w:val="left"/>
      </w:pPr>
      <w:r>
        <w:rPr/>
        <w:t xml:space="preserve">(i) Create a full inventory of the land included in the project and any standing timber on the proposed underlying land;</w:t>
      </w:r>
    </w:p>
    <w:p>
      <w:pPr>
        <w:spacing w:before="0" w:after="0" w:line="408" w:lineRule="exact"/>
        <w:ind w:left="0" w:right="0" w:firstLine="576"/>
        <w:jc w:val="left"/>
      </w:pPr>
      <w:r>
        <w:rPr/>
        <w:t xml:space="preserve">(ii) Complete an estimation of timber volume that is eligible for harvest under the existing management plan for the underlying land;</w:t>
      </w:r>
    </w:p>
    <w:p>
      <w:pPr>
        <w:spacing w:before="0" w:after="0" w:line="408" w:lineRule="exact"/>
        <w:ind w:left="0" w:right="0" w:firstLine="576"/>
        <w:jc w:val="left"/>
      </w:pPr>
      <w:r>
        <w:rPr/>
        <w:t xml:space="preserve">(iii) Complete a valuation of any timber resources on the underlying land that would be available for harvest in absence of any ecosystem services contracts, including a timeline for an anticipated harvest schedule;</w:t>
      </w:r>
    </w:p>
    <w:p>
      <w:pPr>
        <w:spacing w:before="0" w:after="0" w:line="408" w:lineRule="exact"/>
        <w:ind w:left="0" w:right="0" w:firstLine="576"/>
        <w:jc w:val="left"/>
      </w:pPr>
      <w:r>
        <w:rPr/>
        <w:t xml:space="preserve">(iv) Prepare a plan for the replacement of any timber volume and timber value on lands subject to the underlying ecosystem service project and have the plan approved by the board. The plan must include a timeline that includes benchmarks for volume and value replacement that is aligned with how the land would be managed in absence of the ecosystem service project.</w:t>
      </w:r>
    </w:p>
    <w:p>
      <w:pPr>
        <w:spacing w:before="0" w:after="0" w:line="408" w:lineRule="exact"/>
        <w:ind w:left="0" w:right="0" w:firstLine="576"/>
        <w:jc w:val="left"/>
      </w:pPr>
      <w:r>
        <w:rPr/>
        <w:t xml:space="preserve">(b)(i) If the department fails to meet any replacement timeline benchmarks established in the plan, it must report this failure to the board, the office of financial management, and the legislature. The report of failure must be accompanied with a new timeline to correct the failure prior to the next timeline benchmark in the underlying plan.</w:t>
      </w:r>
    </w:p>
    <w:p>
      <w:pPr>
        <w:spacing w:before="0" w:after="0" w:line="408" w:lineRule="exact"/>
        <w:ind w:left="0" w:right="0" w:firstLine="576"/>
        <w:jc w:val="left"/>
      </w:pPr>
      <w:r>
        <w:rPr/>
        <w:t xml:space="preserve">(ii) If the department fails to remedy the failure by the next timeline benchmark, then the department will be provided adequate funding to the natural resources real property replacement account created in RCW 79.17.210, from the natural climate solutions account created in RCW 70A.65.270, to replace the foregone volume and value for the affected lands, as established in (a) of this subsection.</w:t>
      </w:r>
    </w:p>
    <w:p>
      <w:pPr>
        <w:spacing w:before="0" w:after="0" w:line="408" w:lineRule="exact"/>
        <w:ind w:left="0" w:right="0" w:firstLine="576"/>
        <w:jc w:val="left"/>
      </w:pPr>
      <w:r>
        <w:rPr/>
        <w:t xml:space="preserve">(3) Any replacement trust lands purchased under this section must be placed back into the same trust status classification as the lands included in the ecosystem service projects authorized under this section.</w:t>
      </w:r>
    </w:p>
    <w:p>
      <w:pPr>
        <w:spacing w:before="0" w:after="0" w:line="408" w:lineRule="exact"/>
        <w:ind w:left="0" w:right="0" w:firstLine="576"/>
        <w:jc w:val="left"/>
      </w:pPr>
      <w:r>
        <w:rPr/>
        <w:t xml:space="preserve">(4) If purchasing lands under this section, the department must prioritize the purchase of lands at risk of conversion to another use with the intent of managing those lands for productivity in terms of volume and value.</w:t>
      </w:r>
    </w:p>
    <w:p>
      <w:pPr>
        <w:spacing w:before="0" w:after="0" w:line="408" w:lineRule="exact"/>
        <w:ind w:left="0" w:right="0" w:firstLine="576"/>
        <w:jc w:val="left"/>
      </w:pPr>
      <w:r>
        <w:rPr/>
        <w:t xml:space="preserve">(5) The authority granted in this section expires on December 31, 2033; however, contracts entered into under this section may have an execution date that extends past the expiration date for the underlying authority.</w:t>
      </w:r>
    </w:p>
    <w:p>
      <w:pPr>
        <w:spacing w:before="0" w:after="0" w:line="408" w:lineRule="exact"/>
        <w:ind w:left="0" w:right="0" w:firstLine="576"/>
        <w:jc w:val="left"/>
      </w:pPr>
      <w:r>
        <w:rPr/>
        <w:t xml:space="preserve">(6)(a) Within five years of the initiation of a contract under this section, the department must report to the legislature, consistent with RCW 43.01.036, the outcomes of any ecosystem service projects entered into under this section. This includes, but is not limited to:</w:t>
      </w:r>
    </w:p>
    <w:p>
      <w:pPr>
        <w:spacing w:before="0" w:after="0" w:line="408" w:lineRule="exact"/>
        <w:ind w:left="0" w:right="0" w:firstLine="576"/>
        <w:jc w:val="left"/>
      </w:pPr>
      <w:r>
        <w:rPr/>
        <w:t xml:space="preserve">(i) Impacts to direct, indirect, and induced jobs, impacts to local economies, impacts to log supply, and any impacts to local tax revenue;</w:t>
      </w:r>
    </w:p>
    <w:p>
      <w:pPr>
        <w:spacing w:before="0" w:after="0" w:line="408" w:lineRule="exact"/>
        <w:ind w:left="0" w:right="0" w:firstLine="576"/>
        <w:jc w:val="left"/>
      </w:pPr>
      <w:r>
        <w:rPr/>
        <w:t xml:space="preserve">(ii) Impacts to revenues to beneficiaries;</w:t>
      </w:r>
    </w:p>
    <w:p>
      <w:pPr>
        <w:spacing w:before="0" w:after="0" w:line="408" w:lineRule="exact"/>
        <w:ind w:left="0" w:right="0" w:firstLine="576"/>
        <w:jc w:val="left"/>
      </w:pPr>
      <w:r>
        <w:rPr/>
        <w:t xml:space="preserve">(iii) Barriers to market participation;</w:t>
      </w:r>
    </w:p>
    <w:p>
      <w:pPr>
        <w:spacing w:before="0" w:after="0" w:line="408" w:lineRule="exact"/>
        <w:ind w:left="0" w:right="0" w:firstLine="576"/>
        <w:jc w:val="left"/>
      </w:pPr>
      <w:r>
        <w:rPr/>
        <w:t xml:space="preserve">(iv) Assessment of carbon sequestration on the lands enrolled in the ecosystem service project, including foregone opportunities for new forest rotations and storage in forest products.</w:t>
      </w:r>
    </w:p>
    <w:p>
      <w:pPr>
        <w:spacing w:before="0" w:after="0" w:line="408" w:lineRule="exact"/>
        <w:ind w:left="0" w:right="0" w:firstLine="576"/>
        <w:jc w:val="left"/>
      </w:pPr>
      <w:r>
        <w:rPr/>
        <w:t xml:space="preserve">(b) The department must issue reports under this subsection every five years through the life of the underlying ecosystem service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submit a report to the office of financial management and the legislature, consistent with RCW 43.01.036, that includes information on payment for ecosystem service projects entered into or committed to by the department, including type of projects, number of acres involved, and projected revenues. The report must also include any challenges or barriers encountered by the department in the process of attempting to implement carbon offset or payment for ecosystem service projects and recommendations to address those challenges and barriers, including the operability of the carbon offset rules adopted under RCW 70A.65.170.</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11 of this act)</w:t>
      </w:r>
      <w:r>
        <w:rPr/>
        <w:t xml:space="preserve">.</w:t>
      </w:r>
    </w:p>
    <w:p>
      <w:pPr>
        <w:spacing w:before="0" w:after="0" w:line="408" w:lineRule="exact"/>
        <w:ind w:left="0" w:right="0" w:firstLine="576"/>
        <w:jc w:val="left"/>
      </w:pPr>
      <w:r>
        <w:rPr>
          <w:u w:val="single"/>
        </w:rPr>
        <w:t xml:space="preserve">(17) "Ecosystem services" has the same meaning as defined in RCW 76.09.020.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payments for ecosystem service projects under chapter 79.--- RCW (the new chapter created in section 11 of this act)</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u w:val="single"/>
        </w:rPr>
        <w:t xml:space="preserve">(1)</w:t>
      </w:r>
      <w:r>
        <w:rPr/>
        <w:t xml:space="preserve"> Except as provided in RCW 79.22.060, all land, acquired or designated by the department as state forestland, shall be forever reserved from sale, but the valuable materials thereon may be sold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u w:val="single"/>
        </w:rPr>
        <w:t xml:space="preserve">(2) Ecosystem services may be sold only if consistent with the conditions in chapter 79.--- RCW (the new chapter created in section 11 of this act) and may not be sold if chapter 79.--- RCW (the new chapter created in section 11 of this act) does not appear in codified statute.</w:t>
      </w:r>
    </w:p>
    <w:p>
      <w:pPr>
        <w:spacing w:before="0" w:after="0" w:line="408" w:lineRule="exact"/>
        <w:ind w:left="0" w:right="0" w:firstLine="576"/>
        <w:jc w:val="left"/>
      </w:pPr>
      <w:r>
        <w:rPr>
          <w:u w:val="single"/>
        </w:rPr>
        <w:t xml:space="preserve">(3)</w:t>
      </w:r>
      <w:r>
        <w:rPr/>
        <w:t xml:space="preserve"> 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11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010</w:t>
      </w:r>
      <w:r>
        <w:rPr/>
        <w:t xml:space="preserve"> and 2003 c 334 s 331 are each amended to read as follows:</w:t>
      </w:r>
    </w:p>
    <w:p>
      <w:pPr>
        <w:spacing w:before="0" w:after="0" w:line="408" w:lineRule="exact"/>
        <w:ind w:left="0" w:right="0" w:firstLine="576"/>
        <w:jc w:val="left"/>
      </w:pPr>
      <w:r>
        <w:rPr/>
        <w:t xml:space="preserve">(1) Valuable materials situated upon state lands and state forestlands may be sold separate from the land, when in the judgment of the department, it is for the best interest of the state so to sell the same. </w:t>
      </w:r>
      <w:r>
        <w:rPr>
          <w:u w:val="single"/>
        </w:rPr>
        <w:t xml:space="preserve">The sale of any ecosystem services is limited to consistency with the conditions in chapter 79.--- RCW (the new chapter created in section 11 of this act) and may not be sold if chapter 79.--- RCW (the new chapter created in section 11 of this act) does not appear in codified statute.</w:t>
      </w:r>
    </w:p>
    <w:p>
      <w:pPr>
        <w:spacing w:before="0" w:after="0" w:line="408" w:lineRule="exact"/>
        <w:ind w:left="0" w:right="0" w:firstLine="576"/>
        <w:jc w:val="left"/>
      </w:pPr>
      <w:r>
        <w:rPr/>
        <w:t xml:space="preserve">(2) Sales of valuable materials from any university lands require:</w:t>
      </w:r>
    </w:p>
    <w:p>
      <w:pPr>
        <w:spacing w:before="0" w:after="0" w:line="408" w:lineRule="exact"/>
        <w:ind w:left="0" w:right="0" w:firstLine="576"/>
        <w:jc w:val="left"/>
      </w:pPr>
      <w:r>
        <w:rPr/>
        <w:t xml:space="preserve">(a) The consent of the board of regents of the University of Washington; or</w:t>
      </w:r>
    </w:p>
    <w:p>
      <w:pPr>
        <w:spacing w:before="0" w:after="0" w:line="408" w:lineRule="exact"/>
        <w:ind w:left="0" w:right="0" w:firstLine="576"/>
        <w:jc w:val="left"/>
      </w:pPr>
      <w:r>
        <w:rPr/>
        <w:t xml:space="preserve">(b) Legislative directive.</w:t>
      </w:r>
    </w:p>
    <w:p>
      <w:pPr>
        <w:spacing w:before="0" w:after="0" w:line="408" w:lineRule="exact"/>
        <w:ind w:left="0" w:right="0" w:firstLine="576"/>
        <w:jc w:val="left"/>
      </w:pPr>
      <w:r>
        <w:rPr/>
        <w:t xml:space="preserve">(3) When application is made for the purchase of any valuable materials, the department shall appraise the value of the valuable materials if the department determines it is in the best interest of the state to sell. No valuable materials shall be sold for less than the appraised value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270</w:t>
      </w:r>
      <w:r>
        <w:rPr/>
        <w:t xml:space="preserve"> and 2021 c 316 s 30 are each amended to read as follows:</w:t>
      </w:r>
    </w:p>
    <w:p>
      <w:pPr>
        <w:spacing w:before="0" w:after="0" w:line="408" w:lineRule="exact"/>
        <w:ind w:left="0" w:right="0" w:firstLine="576"/>
        <w:jc w:val="left"/>
      </w:pPr>
      <w:r>
        <w:rPr/>
        <w:t xml:space="preserve">(1) The natural climate solutions account is created in the state treasury. All moneys directed to the account from the climate investment account created in RCW 70A.65.250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r>
        <w:rPr>
          <w:u w:val="single"/>
        </w:rPr>
        <w:t xml:space="preserve">;</w:t>
      </w:r>
    </w:p>
    <w:p>
      <w:pPr>
        <w:spacing w:before="0" w:after="0" w:line="408" w:lineRule="exact"/>
        <w:ind w:left="0" w:right="0" w:firstLine="576"/>
        <w:jc w:val="left"/>
      </w:pPr>
      <w:r>
        <w:rPr>
          <w:u w:val="single"/>
        </w:rPr>
        <w:t xml:space="preserve">(c) Legislative transfers, if necessary, to the natural resources real property replacement account created in RCW 79.17.210 for reimbursement to state land trust beneficiaries for foregone timber volume and value under section 3 of this act</w:t>
      </w:r>
      <w:r>
        <w:rPr/>
        <w:t xml:space="preserve">.</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substitute bill:</w:t>
      </w:r>
    </w:p>
    <w:p>
      <w:pPr>
        <w:spacing w:before="0" w:after="0" w:line="408" w:lineRule="exact"/>
        <w:ind w:left="0" w:right="0" w:firstLine="576"/>
        <w:jc w:val="left"/>
      </w:pPr>
      <w:r>
        <w:rPr/>
        <w:t xml:space="preserve">• Limits the types of ecosystem service projects (projects) the department of natural resources (DNR) may enter into contracts for in most cases to: afforestation; reforestation; silvicultural treatments that do not increase rotation lengths or reduce final harvest volumes; forest restoration investments that increase overall harvest volume; avoiding conversion of forest and agricultural lands to another land use; urban forest management and tree planting; and producing and using biochar for soil amendments.</w:t>
      </w:r>
    </w:p>
    <w:p>
      <w:pPr>
        <w:spacing w:before="0" w:after="0" w:line="408" w:lineRule="exact"/>
        <w:ind w:left="0" w:right="0" w:firstLine="576"/>
        <w:jc w:val="left"/>
      </w:pPr>
      <w:r>
        <w:rPr/>
        <w:t xml:space="preserve">• Requires projects to be consistent with ongoing forest health planning efforts, investments, and policies related to maintaining and enhancing the state's ability to continue to sequester carbon through natural and working lands and forest products.</w:t>
      </w:r>
    </w:p>
    <w:p>
      <w:pPr>
        <w:spacing w:before="0" w:after="0" w:line="408" w:lineRule="exact"/>
        <w:ind w:left="0" w:right="0" w:firstLine="576"/>
        <w:jc w:val="left"/>
      </w:pPr>
      <w:r>
        <w:rPr/>
        <w:t xml:space="preserve">• Requires projects to support the forest sector workforce development goals and investments required of the DNR by statute.</w:t>
      </w:r>
    </w:p>
    <w:p>
      <w:pPr>
        <w:spacing w:before="0" w:after="0" w:line="408" w:lineRule="exact"/>
        <w:ind w:left="0" w:right="0" w:firstLine="576"/>
        <w:jc w:val="left"/>
      </w:pPr>
      <w:r>
        <w:rPr/>
        <w:t xml:space="preserve">• Requires projects to result in an increase in revenue to beneficiaries as compared to the revenue expected in absence of the project.</w:t>
      </w:r>
    </w:p>
    <w:p>
      <w:pPr>
        <w:spacing w:before="0" w:after="0" w:line="408" w:lineRule="exact"/>
        <w:ind w:left="0" w:right="0" w:firstLine="576"/>
        <w:jc w:val="left"/>
      </w:pPr>
      <w:r>
        <w:rPr/>
        <w:t xml:space="preserve">• Removes the requirements that projects result in no net decrease in agricultural production for agricultural lands and no net decrease in the decadal sustainable harvest volume and operable acres on state forestlands within sustainable harvest units.</w:t>
      </w:r>
    </w:p>
    <w:p>
      <w:pPr>
        <w:spacing w:before="0" w:after="0" w:line="408" w:lineRule="exact"/>
        <w:ind w:left="0" w:right="0" w:firstLine="576"/>
        <w:jc w:val="left"/>
      </w:pPr>
      <w:r>
        <w:rPr/>
        <w:t xml:space="preserve">• Authorizes the DNR to enter into contracts for projects with determinate harvest schedules on no more than 10,000 operable acres of state lands or state forestlands that are not subject to project type limitations. The authority to enter into contracts for these projects expires on December 1, 2033. For these projects:</w:t>
      </w:r>
    </w:p>
    <w:p>
      <w:pPr>
        <w:spacing w:before="0" w:after="0" w:line="408" w:lineRule="exact"/>
        <w:ind w:left="576" w:right="0" w:firstLine="576"/>
        <w:jc w:val="left"/>
      </w:pPr>
      <w:r>
        <w:rPr/>
        <w:t xml:space="preserve">• The DNR must take a series of actions to replace any timber volume and timber value on lands subject to these projects, during the term of the project, that may be constrained by the terms of the project;</w:t>
      </w:r>
    </w:p>
    <w:p>
      <w:pPr>
        <w:spacing w:before="0" w:after="0" w:line="408" w:lineRule="exact"/>
        <w:ind w:left="576" w:right="0" w:firstLine="576"/>
        <w:jc w:val="left"/>
      </w:pPr>
      <w:r>
        <w:rPr/>
        <w:t xml:space="preserve">• If purchasing lands, the DNR must prioritize purchasing lands at risk of conversion to another use;</w:t>
      </w:r>
    </w:p>
    <w:p>
      <w:pPr>
        <w:spacing w:before="0" w:after="0" w:line="408" w:lineRule="exact"/>
        <w:ind w:left="576" w:right="0" w:firstLine="576"/>
        <w:jc w:val="left"/>
      </w:pPr>
      <w:r>
        <w:rPr/>
        <w:t xml:space="preserve">• The DNR must, within five years of entering into a contract and every five years throughout the life of the contract, report to the Legislature on outcomes of the project; and</w:t>
      </w:r>
    </w:p>
    <w:p>
      <w:pPr>
        <w:spacing w:before="0" w:after="0" w:line="408" w:lineRule="exact"/>
        <w:ind w:left="576" w:right="0" w:firstLine="576"/>
        <w:jc w:val="left"/>
      </w:pPr>
      <w:r>
        <w:rPr/>
        <w:t xml:space="preserve">• Funding from the natural climate solutions account may be used for funding the real property replacement account for reimbursement to state land trust beneficiaries for foregone timber volume and value.</w:t>
      </w:r>
    </w:p>
    <w:p>
      <w:pPr>
        <w:spacing w:before="0" w:after="0" w:line="408" w:lineRule="exact"/>
        <w:ind w:left="0" w:right="0" w:firstLine="576"/>
        <w:jc w:val="left"/>
      </w:pPr>
      <w:r>
        <w:rPr/>
        <w:t xml:space="preserve">• Specifies that carbon sequestration projects that are consistent with maintaining and enhancing the state's ability to continue to sequester carbon through natural and working lands and forest products are examples of ecosystem services.</w:t>
      </w:r>
    </w:p>
    <w:p>
      <w:pPr>
        <w:spacing w:before="0" w:after="0" w:line="408" w:lineRule="exact"/>
        <w:ind w:left="0" w:right="0" w:firstLine="576"/>
        <w:jc w:val="left"/>
      </w:pPr>
      <w:r>
        <w:rPr/>
        <w:t xml:space="preserve">• Modifies the reporting requirement to specify that the report must include information on the operability of carbon offset rules, and to require the report to be submitted to the legislature consistent with state laws requiring reports to the Legislature to be submitted electronically.</w:t>
      </w:r>
    </w:p>
    <w:p>
      <w:pPr>
        <w:spacing w:before="0" w:after="0" w:line="408" w:lineRule="exact"/>
        <w:ind w:left="0" w:right="0" w:firstLine="576"/>
        <w:jc w:val="left"/>
      </w:pPr>
      <w:r>
        <w:rPr/>
        <w:t xml:space="preserve">• Specifies that ecosystem services may not be sold if the chapter created in the bill allowing the sale of ecosystem services from state lands is not codified.</w:t>
      </w:r>
    </w:p>
    <w:p>
      <w:pPr>
        <w:spacing w:before="0" w:after="0" w:line="408" w:lineRule="exact"/>
        <w:ind w:left="0" w:right="0" w:firstLine="576"/>
        <w:jc w:val="left"/>
      </w:pPr>
      <w:r>
        <w:rPr/>
        <w:t xml:space="preserve">• Removes the intent section.</w:t>
      </w:r>
    </w:p>
    <w:p>
      <w:pPr>
        <w:spacing w:before="0" w:after="0" w:line="408" w:lineRule="exact"/>
        <w:ind w:left="0" w:right="0" w:firstLine="576"/>
        <w:jc w:val="left"/>
      </w:pPr>
      <w:r>
        <w:rPr/>
        <w:t xml:space="preserve">• Removes definitions of terms that are not used in the striking amendment.</w:t>
      </w:r>
    </w:p>
    <w:p>
      <w:pPr>
        <w:spacing w:before="0" w:after="0" w:line="408" w:lineRule="exact"/>
        <w:ind w:left="0" w:right="0" w:firstLine="576"/>
        <w:jc w:val="left"/>
      </w:pPr>
      <w:r>
        <w:rPr/>
        <w:t xml:space="preserve">• Makes technical and clarifying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e556b41b8480b" /></Relationships>
</file>