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789f8f1494b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2049-S2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MCEN</w:t>
        </w:r>
      </w:r>
      <w:r>
        <w:rPr>
          <w:b/>
        </w:rPr>
        <w:t xml:space="preserve"> </w:t>
        <w:r>
          <w:rPr/>
          <w:t xml:space="preserve">H3208.1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2049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McEntire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"(11) A producer responsibility organization formed under this chapter is considered a public agency for the purposes of chapter 42.30 RCW and must follow the requirements of the open public meetings act, chapter 42.30 RCW, as they apply to public agencies."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producer responsibility organizations are considered public agencies for purposes of the open public meetings act and must comply with the requirements of that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d1c4a2ffb4f76" /></Relationships>
</file>