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9ed6c05f94a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2255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WATE</w:t>
        </w:r>
      </w:r>
      <w:r>
        <w:rPr>
          <w:b/>
        </w:rPr>
        <w:t xml:space="preserve"> </w:t>
        <w:r>
          <w:rPr/>
          <w:t xml:space="preserve">H2993.1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2255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Waters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"(3)" insert "The board shall regularly ensure that all cannabis licensees and third-party testing laboratories comply with any requirement of the board for the reporting of data or events to the cannabis central reporting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Liquor and Cannabis Board (LCB) to regularly ensure that all cannabis licensees and third-party testing laboratories comply with any reporting requirement of the LCB to report data or events to the LCB through the Cannabis Central Reporting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38519b1e64377" /></Relationships>
</file>