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d2d0c52ef6475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2384-S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ROBE</w:t>
        </w:r>
      </w:r>
      <w:r>
        <w:rPr>
          <w:b/>
        </w:rPr>
        <w:t xml:space="preserve"> </w:t>
        <w:r>
          <w:rPr/>
          <w:t xml:space="preserve">H3257.1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2384</w:t>
      </w:r>
      <w:r>
        <w:t xml:space="preserve"> -</w:t>
      </w:r>
      <w:r>
        <w:t xml:space="preserve"> </w:t>
        <w:t xml:space="preserve">H AMD TO H AMD (H-3251.1/24)</w:t>
      </w:r>
      <w:r>
        <w:t xml:space="preserve"> </w:t>
      </w:r>
      <w:r>
        <w:rPr>
          <w:b/>
        </w:rPr>
        <w:t xml:space="preserve">1007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Robertson</w:t>
      </w:r>
    </w:p>
    <w:p>
      <w:pPr>
        <w:jc w:val="right"/>
      </w:pPr>
      <w:r>
        <w:rPr>
          <w:b/>
        </w:rPr>
        <w:t xml:space="preserve">ADOPTED 02/12/2024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29, after "46.04.150" insert ", except that a notice of infraction may only be issued if an automated traffic safety camera captures a speed violation when workers are present"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workers to be present in a work zone for notices of infraction to be issued for work zone speed violations captured by a traffic camera.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5d7b910fd34475" /></Relationships>
</file>