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96aa945d74aae" /></Relationships>
</file>

<file path=word/document.xml><?xml version="1.0" encoding="utf-8"?>
<w:document xmlns:w="http://schemas.openxmlformats.org/wordprocessingml/2006/main">
  <w:body>
    <w:p>
      <w:r>
        <w:rPr>
          <w:b/>
        </w:rPr>
        <w:r>
          <w:rPr/>
          <w:t xml:space="preserve">5197-S.E</w:t>
        </w:r>
      </w:r>
      <w:r>
        <w:rPr>
          <w:b/>
        </w:rPr>
        <w:t xml:space="preserve"> </w:t>
        <w:t xml:space="preserve">AMH</w:t>
      </w:r>
      <w:r>
        <w:rPr>
          <w:b/>
        </w:rPr>
        <w:t xml:space="preserve"> </w:t>
        <w:r>
          <w:rPr/>
          <w:t xml:space="preserve">HOUS</w:t>
        </w:r>
      </w:r>
      <w:r>
        <w:rPr>
          <w:b/>
        </w:rPr>
        <w:t xml:space="preserve"> </w:t>
        <w:r>
          <w:rPr/>
          <w:t xml:space="preserve">H1702.1</w:t>
        </w:r>
      </w:r>
      <w:r>
        <w:rPr>
          <w:b/>
        </w:rPr>
        <w:t xml:space="preserve"> - NOT FOR FLOOR USE</w:t>
      </w:r>
    </w:p>
    <w:p>
      <w:pPr>
        <w:ind w:left="0" w:right="0" w:firstLine="576"/>
      </w:pPr>
    </w:p>
    <w:p>
      <w:pPr>
        <w:spacing w:before="480" w:after="0" w:line="408" w:lineRule="exact"/>
      </w:pPr>
      <w:r>
        <w:rPr>
          <w:b/>
          <w:u w:val="single"/>
        </w:rPr>
        <w:t xml:space="preserve">ESSB 5197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In any forcible or unlawful detainer proceeding before the court:</w:t>
      </w:r>
    </w:p>
    <w:p>
      <w:pPr>
        <w:spacing w:before="0" w:after="0" w:line="408" w:lineRule="exact"/>
        <w:ind w:left="0" w:right="0" w:firstLine="576"/>
        <w:jc w:val="left"/>
      </w:pPr>
      <w:r>
        <w:rPr/>
        <w:t xml:space="preserve">(1) Hearings may be conducted in person or remotely in order to enhance access for all parties. At the court's discretion, parties, witnesses, and others authorized by this chapter to participate in forcible or unlawful detainer proceedings may attend a hearing pursuant to this chapter, in person or remotely, including by telephone, video, or other electronic means where possible. The court shall grant any request for a remote appearance unless the court finds good cause to require in-person attendance or attendance through a specific means. Courts shall require assurances of the identity of persons who appear by telephone, video, or other electronic means. Courts may not charge fees for remote appearances. Courts shall provide instructions for remote access either on the official court website or in writing directly to the party requesting to appear remotely, or both.</w:t>
      </w:r>
    </w:p>
    <w:p>
      <w:pPr>
        <w:spacing w:before="0" w:after="0" w:line="408" w:lineRule="exact"/>
        <w:ind w:left="0" w:right="0" w:firstLine="576"/>
        <w:jc w:val="left"/>
      </w:pPr>
      <w:r>
        <w:rPr/>
        <w:t xml:space="preserve">(2) Any party must be permitted to make an emergency application by phone or video conference and file such documents by email, fax, or other means that can be performed remotely.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2021 c 115 s 17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five court days have expired after entry of the judgment</w:t>
      </w:r>
      <w:r>
        <w:rPr>
          <w:u w:val="single"/>
        </w:rPr>
        <w:t xml:space="preserve">, unless the tenant provides a pledge of financial assistance letter from a government or nonprofit entity, in which case the tenant has until the date of eviction</w:t>
      </w:r>
      <w:r>
        <w:rPr/>
        <w:t xml:space="preserve">,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w:t>
      </w:r>
      <w:r>
        <w:t>((</w:t>
      </w:r>
      <w:r>
        <w:rPr>
          <w:strike/>
        </w:rPr>
        <w:t xml:space="preserve">seven</w:t>
      </w:r>
      <w:r>
        <w:t>))</w:t>
      </w:r>
      <w:r>
        <w:rPr/>
        <w:t xml:space="preserve"> </w:t>
      </w:r>
      <w:r>
        <w:rPr>
          <w:u w:val="single"/>
        </w:rPr>
        <w:t xml:space="preserve">14</w:t>
      </w:r>
      <w:r>
        <w:rPr/>
        <w:t xml:space="preserve">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 If a judgment has been satisfied, the landlord shall file a satisfaction of judgment with the court. A tenant seeking to exercise rights under this subsection shall pay an additional </w:t>
      </w:r>
      <w:r>
        <w:t>((</w:t>
      </w:r>
      <w:r>
        <w:rPr>
          <w:strike/>
        </w:rPr>
        <w:t xml:space="preserve">fifty dollars</w:t>
      </w:r>
      <w:r>
        <w:t>))</w:t>
      </w:r>
      <w:r>
        <w:rPr/>
        <w:t xml:space="preserve"> </w:t>
      </w:r>
      <w:r>
        <w:rPr>
          <w:u w:val="single"/>
        </w:rPr>
        <w:t xml:space="preserve">$50</w:t>
      </w:r>
      <w:r>
        <w:rPr/>
        <w:t xml:space="preserve"> for each time the tenant was reinstated after judgment pursuant to this subsection within the previous </w:t>
      </w:r>
      <w:r>
        <w:t>((</w:t>
      </w:r>
      <w:r>
        <w:rPr>
          <w:strike/>
        </w:rPr>
        <w:t xml:space="preserve">twelve</w:t>
      </w:r>
      <w:r>
        <w:t>))</w:t>
      </w:r>
      <w:r>
        <w:rPr/>
        <w:t xml:space="preserve"> </w:t>
      </w:r>
      <w:r>
        <w:rPr>
          <w:u w:val="single"/>
        </w:rPr>
        <w:t xml:space="preserve">12</w:t>
      </w:r>
      <w:r>
        <w:rPr/>
        <w:t xml:space="preser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w:t>
      </w:r>
      <w:r>
        <w:t>((</w:t>
      </w:r>
      <w:r>
        <w:rPr>
          <w:strike/>
        </w:rPr>
        <w:t xml:space="preserve">ninety</w:t>
      </w:r>
      <w:r>
        <w:t>))</w:t>
      </w:r>
      <w:r>
        <w:rPr/>
        <w:t xml:space="preserve"> </w:t>
      </w:r>
      <w:r>
        <w:rPr>
          <w:u w:val="single"/>
        </w:rPr>
        <w:t xml:space="preserve">90</w:t>
      </w:r>
      <w:r>
        <w:rPr/>
        <w:t xml:space="preserve"> days from the date of order, but may order repayment of the judgment balance within such time. If the payment plan is to exceed </w:t>
      </w:r>
      <w:r>
        <w:t>((</w:t>
      </w:r>
      <w:r>
        <w:rPr>
          <w:strike/>
        </w:rPr>
        <w:t xml:space="preserve">thirty</w:t>
      </w:r>
      <w:r>
        <w:t>))</w:t>
      </w:r>
      <w:r>
        <w:rPr/>
        <w:t xml:space="preserve"> </w:t>
      </w:r>
      <w:r>
        <w:rPr>
          <w:u w:val="single"/>
        </w:rPr>
        <w:t xml:space="preserve">30</w:t>
      </w:r>
      <w:r>
        <w:rPr/>
        <w:t xml:space="preserve"> days, the total cumulative payments for each </w:t>
      </w:r>
      <w:r>
        <w:t>((</w:t>
      </w:r>
      <w:r>
        <w:rPr>
          <w:strike/>
        </w:rPr>
        <w:t xml:space="preserve">thirty-day</w:t>
      </w:r>
      <w:r>
        <w:t>))</w:t>
      </w:r>
      <w:r>
        <w:rPr/>
        <w:t xml:space="preserve"> </w:t>
      </w:r>
      <w:r>
        <w:rPr>
          <w:u w:val="single"/>
        </w:rPr>
        <w:t xml:space="preserve">30-day</w:t>
      </w:r>
      <w:r>
        <w:rPr/>
        <w:t xml:space="preserve"> period following the order shall be no less than one month of the tenant's share of the rent, and the total amount of the judgment and all additional rent that is due shall be paid within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w:t>
      </w:r>
      <w:r>
        <w:t>((</w:t>
      </w:r>
      <w:r>
        <w:rPr>
          <w:strike/>
        </w:rPr>
        <w:t xml:space="preserve">fifteenth</w:t>
      </w:r>
      <w:r>
        <w:t>))</w:t>
      </w:r>
      <w:r>
        <w:rPr/>
        <w:t xml:space="preserve"> </w:t>
      </w:r>
      <w:r>
        <w:rPr>
          <w:u w:val="single"/>
        </w:rPr>
        <w:t xml:space="preserve">15th</w:t>
      </w:r>
      <w:r>
        <w:rPr/>
        <w:t xml:space="preserve"> of the month, the tenant shall remain current with ongoing rental payments as they become due for the duration of the payment plan; if the date of the order is after the </w:t>
      </w:r>
      <w:r>
        <w:t>((</w:t>
      </w:r>
      <w:r>
        <w:rPr>
          <w:strike/>
        </w:rPr>
        <w:t xml:space="preserve">fifteenth</w:t>
      </w:r>
      <w:r>
        <w:t>))</w:t>
      </w:r>
      <w:r>
        <w:rPr/>
        <w:t xml:space="preserve"> </w:t>
      </w:r>
      <w:r>
        <w:rPr>
          <w:u w:val="single"/>
        </w:rPr>
        <w:t xml:space="preserve">15th</w:t>
      </w:r>
      <w:r>
        <w:rPr/>
        <w:t xml:space="preserve">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r>
        <w:rPr>
          <w:u w:val="single"/>
        </w:rPr>
        <w:t xml:space="preserve">, unless the court determines any of the notices served were invalid or did not otherwise comply with the requirements of this chapter</w:t>
      </w:r>
      <w:r>
        <w:rPr/>
        <w:t xml:space="preserve">.</w:t>
      </w:r>
    </w:p>
    <w:p>
      <w:pPr>
        <w:spacing w:before="0" w:after="0" w:line="408" w:lineRule="exact"/>
        <w:ind w:left="0" w:right="0" w:firstLine="576"/>
        <w:jc w:val="left"/>
      </w:pPr>
      <w:r>
        <w:rPr/>
        <w:t xml:space="preserve">(e)(i)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w:t>
      </w:r>
      <w:r>
        <w:t>((</w:t>
      </w:r>
      <w:r>
        <w:rPr>
          <w:strike/>
        </w:rPr>
        <w:t xml:space="preserve">(c)</w:t>
      </w:r>
      <w:r>
        <w:t>))</w:t>
      </w:r>
      <w:r>
        <w:rPr/>
        <w:t xml:space="preserve"> </w:t>
      </w:r>
      <w:r>
        <w:rPr>
          <w:u w:val="single"/>
        </w:rPr>
        <w:t xml:space="preserve">(b)</w:t>
      </w:r>
      <w:r>
        <w:rPr/>
        <w:t xml:space="preserve">.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w:t>
      </w:r>
      <w:r>
        <w:t>((</w:t>
      </w:r>
      <w:r>
        <w:rPr>
          <w:strike/>
        </w:rPr>
        <w:t xml:space="preserve">(c)</w:t>
      </w:r>
      <w:r>
        <w:t>))</w:t>
      </w:r>
      <w:r>
        <w:rPr/>
        <w:t xml:space="preserve"> </w:t>
      </w:r>
      <w:r>
        <w:rPr>
          <w:u w:val="single"/>
        </w:rPr>
        <w:t xml:space="preserve">(b)</w:t>
      </w:r>
      <w:r>
        <w:rPr/>
        <w:t xml:space="preserve">(iii). In accordance with RCW 43.31.605(1)</w:t>
      </w:r>
      <w:r>
        <w:t>((</w:t>
      </w:r>
      <w:r>
        <w:rPr>
          <w:strike/>
        </w:rPr>
        <w:t xml:space="preserve">(c)</w:t>
      </w:r>
      <w:r>
        <w:t>))</w:t>
      </w:r>
      <w:r>
        <w:rPr/>
        <w:t xml:space="preserve"> </w:t>
      </w:r>
      <w:r>
        <w:rPr>
          <w:u w:val="single"/>
        </w:rPr>
        <w:t xml:space="preserve">(b)</w:t>
      </w:r>
      <w:r>
        <w:rPr/>
        <w:t xml:space="preserve">, such an order must be accompanied by a copy of the order staying the writ of restitution. Nothing in this subsection (3)(e)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(3)(e) within </w:t>
      </w:r>
      <w:r>
        <w:t>((</w:t>
      </w:r>
      <w:r>
        <w:rPr>
          <w:strike/>
        </w:rPr>
        <w:t xml:space="preserve">thirty</w:t>
      </w:r>
      <w:r>
        <w:t>))</w:t>
      </w:r>
      <w:r>
        <w:rPr/>
        <w:t xml:space="preserve"> </w:t>
      </w:r>
      <w:r>
        <w:rPr>
          <w:u w:val="single"/>
        </w:rPr>
        <w:t xml:space="preserve">30</w:t>
      </w:r>
      <w:r>
        <w:rPr/>
        <w:t xml:space="preserve">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(3)(e) prohibits the landlord from otherwise applying for reimbursement for an unpaid judgment pursuant to RCW 43.31.605(1)</w:t>
      </w:r>
      <w:r>
        <w:t>((</w:t>
      </w:r>
      <w:r>
        <w:rPr>
          <w:strike/>
        </w:rPr>
        <w:t xml:space="preserve">(c)</w:t>
      </w:r>
      <w:r>
        <w:t>))</w:t>
      </w:r>
      <w:r>
        <w:rPr/>
        <w:t xml:space="preserve"> </w:t>
      </w:r>
      <w:r>
        <w:rPr>
          <w:u w:val="single"/>
        </w:rPr>
        <w:t xml:space="preserve">(b)</w:t>
      </w:r>
      <w:r>
        <w:rPr/>
        <w:t xml:space="preserve"> after the tenant defaults on a payment plan ordered pursuant to (c) of this subsection.</w:t>
      </w:r>
    </w:p>
    <w:p>
      <w:pPr>
        <w:spacing w:before="0" w:after="0" w:line="408" w:lineRule="exact"/>
        <w:ind w:left="0" w:right="0" w:firstLine="576"/>
        <w:jc w:val="left"/>
      </w:pPr>
      <w:r>
        <w:rPr/>
        <w:t xml:space="preserve">(vi) </w:t>
      </w:r>
      <w:r>
        <w:t>((</w:t>
      </w:r>
      <w:r>
        <w:rPr>
          <w:strike/>
        </w:rPr>
        <w:t xml:space="preserve">For the period extending one year beyond the expiration of the eviction moratorium, if</w:t>
      </w:r>
      <w:r>
        <w:t>))</w:t>
      </w:r>
      <w:r>
        <w:rPr/>
        <w:t xml:space="preserve"> </w:t>
      </w:r>
      <w:r>
        <w:rPr>
          <w:u w:val="single"/>
        </w:rPr>
        <w:t xml:space="preserve">If</w:t>
      </w:r>
      <w:r>
        <w:rPr/>
        <w:t xml:space="preserve"> a tenant demonstrates an ability to pay in order to reinstate the tenancy by means of disbursement through the landlord mitigation program account established within RCW 43.31.605(1)</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(A) Any restrictions imposed under (d) of this subsection do not apply in determining if a tenant is eligible for reinstatement under this subsection (3); and</w:t>
      </w:r>
    </w:p>
    <w:p>
      <w:pPr>
        <w:spacing w:before="0" w:after="0" w:line="408" w:lineRule="exact"/>
        <w:ind w:left="0" w:right="0" w:firstLine="576"/>
        <w:jc w:val="left"/>
      </w:pPr>
      <w:r>
        <w:rPr/>
        <w:t xml:space="preserve">(B) Reimbursement on behalf of the tenant to the landlord under RCW 43.31.605(1)</w:t>
      </w:r>
      <w:r>
        <w:t>((</w:t>
      </w:r>
      <w:r>
        <w:rPr>
          <w:strike/>
        </w:rPr>
        <w:t xml:space="preserve">(c)</w:t>
      </w:r>
      <w:r>
        <w:t>))</w:t>
      </w:r>
      <w:r>
        <w:rPr/>
        <w:t xml:space="preserve"> </w:t>
      </w:r>
      <w:r>
        <w:rPr>
          <w:u w:val="single"/>
        </w:rPr>
        <w:t xml:space="preserve">(b)</w:t>
      </w:r>
      <w:r>
        <w:rPr/>
        <w:t xml:space="preserve"> may include up to three months of prospective rent to stabilize the tenancy as determined by the court.</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2021 c 115 s 10 are each amended to read as follows:</w:t>
      </w:r>
    </w:p>
    <w:p>
      <w:pPr>
        <w:spacing w:before="0" w:after="0" w:line="408" w:lineRule="exact"/>
        <w:ind w:left="0" w:right="0" w:firstLine="576"/>
        <w:jc w:val="left"/>
      </w:pPr>
      <w:r>
        <w:rPr/>
        <w:t xml:space="preserve">(1) Every 14-day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this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as well as information on available resources to help you pay your rent, including state and local rental assistance programs, on its website at www.atg.wa.gov/landlord-tenant. </w:t>
      </w:r>
    </w:p>
    <w:p>
      <w:pPr>
        <w:spacing w:before="0" w:after="0" w:line="408" w:lineRule="exact"/>
        <w:ind w:left="0" w:right="0" w:firstLine="576"/>
        <w:jc w:val="left"/>
      </w:pPr>
      <w:r>
        <w:rPr>
          <w:b/>
        </w:rPr>
        <w:t xml:space="preserve"> 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https://nwjustice.org/apply-online. For additional resources, call 2-1-1 or the Northwest Justice Project CLEAR Hotline outside King County (888) 201-1014 weekdays between 9:15 a.m. – 12:15 p.m., or (888) 387-7111 for seniors (age 60 and over). You may find additional information to help you at http://www.washingtonlawhelp.org. 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State law also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w:t>
      </w:r>
      <w:r>
        <w:t>((</w:t>
      </w:r>
      <w:r>
        <w:rPr>
          <w:strike/>
        </w:rPr>
        <w:t xml:space="preserve">Upon expiration of the eviction resolution pilot program established under RCW 59.18.660:</w:t>
      </w:r>
    </w:p>
    <w:p>
      <w:pPr>
        <w:spacing w:before="0" w:after="0" w:line="408" w:lineRule="exact"/>
        <w:ind w:left="0" w:right="0" w:firstLine="576"/>
        <w:jc w:val="left"/>
      </w:pPr>
      <w:r>
        <w:rPr>
          <w:strike/>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strike/>
        </w:rPr>
        <w:t xml:space="preserve">(b) Dispute resolution centers are encouraged to notify the housing justice project or northwest justice project located within or serving the county in which the dispute resolution center is located, as appropriate, once notice is received from the landlord under this subsection.</w:t>
      </w:r>
    </w:p>
    <w:p>
      <w:pPr>
        <w:spacing w:before="0" w:after="0" w:line="408" w:lineRule="exact"/>
        <w:ind w:left="0" w:right="0" w:firstLine="576"/>
        <w:jc w:val="left"/>
      </w:pPr>
      <w:r>
        <w:rPr>
          <w:strike/>
        </w:rPr>
        <w:t xml:space="preserve">(3)</w:t>
      </w:r>
      <w:r>
        <w:t>))</w:t>
      </w:r>
      <w:r>
        <w:rPr/>
        <w:t xml:space="preserve"> The form required in this section does not abrogate any additional notice requirements to tenants as required by federal, state, or local law."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provisions authorizing remote participation in eviction proceedings:</w:t>
      </w:r>
    </w:p>
    <w:p>
      <w:pPr>
        <w:spacing w:before="0" w:after="0" w:line="408" w:lineRule="exact"/>
        <w:ind w:left="0" w:right="0" w:firstLine="576"/>
        <w:jc w:val="left"/>
      </w:pPr>
      <w:r>
        <w:rPr/>
        <w:t xml:space="preserve">(1) Clarifies that hearings in certain eviction proceedings may be conducted remotely at the court's discretion;</w:t>
      </w:r>
    </w:p>
    <w:p>
      <w:pPr>
        <w:spacing w:before="0" w:after="0" w:line="408" w:lineRule="exact"/>
        <w:ind w:left="0" w:right="0" w:firstLine="576"/>
        <w:jc w:val="left"/>
      </w:pPr>
      <w:r>
        <w:rPr/>
        <w:t xml:space="preserve">(2) Requires a court to grant any request for a remote appearance unless the court finds good cause to require attendance through a different means;</w:t>
      </w:r>
    </w:p>
    <w:p>
      <w:pPr>
        <w:spacing w:before="0" w:after="0" w:line="408" w:lineRule="exact"/>
        <w:ind w:left="0" w:right="0" w:firstLine="576"/>
        <w:jc w:val="left"/>
      </w:pPr>
      <w:r>
        <w:rPr/>
        <w:t xml:space="preserve">(3) Provides that a court must require assurances of the identity of persons who appear remotely;</w:t>
      </w:r>
    </w:p>
    <w:p>
      <w:pPr>
        <w:spacing w:before="0" w:after="0" w:line="408" w:lineRule="exact"/>
        <w:ind w:left="0" w:right="0" w:firstLine="576"/>
        <w:jc w:val="left"/>
      </w:pPr>
      <w:r>
        <w:rPr/>
        <w:t xml:space="preserve">(4) Prohibits courts from charging fees for remote appearances; and</w:t>
      </w:r>
    </w:p>
    <w:p>
      <w:pPr>
        <w:spacing w:before="0" w:after="0" w:line="408" w:lineRule="exact"/>
        <w:ind w:left="0" w:right="0" w:firstLine="576"/>
        <w:jc w:val="left"/>
      </w:pPr>
      <w:r>
        <w:rPr/>
        <w:t xml:space="preserve">(5) Requires courts to provide instructions for remote access either on the court website or in writing directly to the party requesting to appear remotely, or both.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113b14770f4e79" /></Relationships>
</file>