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7d65673704371" /></Relationships>
</file>

<file path=word/document.xml><?xml version="1.0" encoding="utf-8"?>
<w:document xmlns:w="http://schemas.openxmlformats.org/wordprocessingml/2006/main">
  <w:body>
    <w:p>
      <w:r>
        <w:rPr>
          <w:b/>
        </w:rPr>
        <w:r>
          <w:rPr/>
          <w:t xml:space="preserve">5280</w:t>
        </w:r>
      </w:r>
      <w:r>
        <w:rPr>
          <w:b/>
        </w:rPr>
        <w:t xml:space="preserve"> </w:t>
        <w:t xml:space="preserve">AMH</w:t>
      </w:r>
      <w:r>
        <w:rPr>
          <w:b/>
        </w:rPr>
        <w:t xml:space="preserve"> </w:t>
        <w:r>
          <w:rPr/>
          <w:t xml:space="preserve">HSEL</w:t>
        </w:r>
      </w:r>
      <w:r>
        <w:rPr>
          <w:b/>
        </w:rPr>
        <w:t xml:space="preserve"> </w:t>
        <w:r>
          <w:rPr/>
          <w:t xml:space="preserve">H1741.1</w:t>
        </w:r>
      </w:r>
      <w:r>
        <w:rPr>
          <w:b/>
        </w:rPr>
        <w:t xml:space="preserve"> - NOT FOR FLOOR USE</w:t>
      </w:r>
    </w:p>
    <w:p>
      <w:pPr>
        <w:ind w:left="0" w:right="0" w:firstLine="576"/>
      </w:pPr>
    </w:p>
    <w:p>
      <w:pPr>
        <w:spacing w:before="480" w:after="0" w:line="408" w:lineRule="exact"/>
      </w:pPr>
      <w:r>
        <w:rPr>
          <w:b/>
          <w:u w:val="single"/>
        </w:rPr>
        <w:t xml:space="preserve">SB 5280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w:t>
      </w:r>
      <w:r>
        <w:t>((</w:t>
      </w:r>
      <w:r>
        <w:rPr>
          <w:strike/>
        </w:rPr>
        <w:t xml:space="preserve">Clergy</w:t>
      </w:r>
      <w:r>
        <w:t>))</w:t>
      </w:r>
      <w:r>
        <w:rPr/>
        <w:t xml:space="preserve"> </w:t>
      </w:r>
      <w:r>
        <w:rPr>
          <w:u w:val="single"/>
        </w:rPr>
        <w:t xml:space="preserve">Member of the clergy</w:t>
      </w:r>
      <w:r>
        <w:rPr/>
        <w:t xml:space="preserve">" means any regularly licensed</w:t>
      </w:r>
      <w:r>
        <w:rPr>
          <w:u w:val="single"/>
        </w:rPr>
        <w:t xml:space="preserve">, accredited,</w:t>
      </w:r>
      <w:r>
        <w:rPr/>
        <w:t xml:space="preserve"> or ordained minister, priest, </w:t>
      </w:r>
      <w:r>
        <w:t>((</w:t>
      </w:r>
      <w:r>
        <w:rPr>
          <w:strike/>
        </w:rPr>
        <w:t xml:space="preserve">or</w:t>
      </w:r>
      <w:r>
        <w:t>))</w:t>
      </w:r>
      <w:r>
        <w:rPr/>
        <w:t xml:space="preserve"> rabbi</w:t>
      </w:r>
      <w:r>
        <w:rPr>
          <w:u w:val="single"/>
        </w:rPr>
        <w:t xml:space="preserve">, imam, elder, or similarly situated religious or spiritual leader</w:t>
      </w:r>
      <w:r>
        <w:rPr/>
        <w:t xml:space="preserve"> of any church </w:t>
      </w:r>
      <w:r>
        <w:t>((</w:t>
      </w:r>
      <w:r>
        <w:rPr>
          <w:strike/>
        </w:rPr>
        <w:t xml:space="preserve">or</w:t>
      </w:r>
      <w:r>
        <w:t>))</w:t>
      </w:r>
      <w:r>
        <w:rPr>
          <w:u w:val="single"/>
        </w:rPr>
        <w:t xml:space="preserve">,</w:t>
      </w:r>
      <w:r>
        <w:rPr/>
        <w:t xml:space="preserve"> religious denomination, </w:t>
      </w:r>
      <w:r>
        <w:rPr>
          <w:u w:val="single"/>
        </w:rPr>
        <w:t xml:space="preserve">religious body, spiritual community, or sect, or person performing official duties that are recognized as the duties of a member of the clergy under the discipline, tenets, doctrine, or custom of the person's church, religious denomination, religious body, spiritual community, or sect,</w:t>
      </w:r>
      <w:r>
        <w:rPr/>
        <w:t xml:space="preserve"> whether acting in an individual capacity or as an employee </w:t>
      </w:r>
      <w:r>
        <w:t>((</w:t>
      </w:r>
      <w:r>
        <w:rPr>
          <w:strike/>
        </w:rPr>
        <w:t xml:space="preserve">or</w:t>
      </w:r>
      <w:r>
        <w:t>))</w:t>
      </w:r>
      <w:r>
        <w:rPr>
          <w:u w:val="single"/>
        </w:rPr>
        <w:t xml:space="preserve">,</w:t>
      </w:r>
      <w:r>
        <w:rPr/>
        <w:t xml:space="preserve"> agent</w:t>
      </w:r>
      <w:r>
        <w:rPr>
          <w:u w:val="single"/>
        </w:rPr>
        <w:t xml:space="preserve">, or official</w:t>
      </w:r>
      <w:r>
        <w:rPr/>
        <w:t xml:space="preserve">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w:t>
      </w:r>
      <w:r>
        <w:rPr>
          <w:u w:val="single"/>
        </w:rPr>
        <w:t xml:space="preserve">member of the clergy,</w:t>
      </w:r>
      <w:r>
        <w:rPr/>
        <w:t xml:space="preserve">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Adds a person who is an elder to the definition of "member of the clergy."</w:t>
      </w:r>
    </w:p>
    <w:p>
      <w:pPr>
        <w:spacing w:before="0" w:after="0" w:line="408" w:lineRule="exact"/>
        <w:ind w:left="0" w:right="0" w:firstLine="576"/>
        <w:jc w:val="left"/>
      </w:pPr>
      <w:r>
        <w:rPr/>
        <w:t xml:space="preserve">(2) Removes the mandatory reporting of child abuse and neglect exemption for information that a member of the clergy obtains through a confession.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81e5159c624c7a" /></Relationships>
</file>