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ebec20e88c4d84" /></Relationships>
</file>

<file path=word/document.xml><?xml version="1.0" encoding="utf-8"?>
<w:document xmlns:w="http://schemas.openxmlformats.org/wordprocessingml/2006/main">
  <w:body>
    <w:p>
      <w:r>
        <w:rPr>
          <w:b/>
        </w:rPr>
        <w:r>
          <w:rPr/>
          <w:t xml:space="preserve">5316</w:t>
        </w:r>
      </w:r>
      <w:r>
        <w:rPr>
          <w:b/>
        </w:rPr>
        <w:t xml:space="preserve"> </w:t>
        <w:t xml:space="preserve">AMH</w:t>
      </w:r>
      <w:r>
        <w:rPr>
          <w:b/>
        </w:rPr>
        <w:t xml:space="preserve"> </w:t>
        <w:r>
          <w:rPr/>
          <w:t xml:space="preserve">ENGR</w:t>
        </w:r>
      </w:r>
      <w:r>
        <w:rPr>
          <w:b/>
        </w:rPr>
        <w:t xml:space="preserve"> </w:t>
        <w:r>
          <w:rPr/>
          <w:t xml:space="preserve">H1880.E</w:t>
        </w:r>
      </w:r>
      <w:r>
        <w:rPr>
          <w:b/>
        </w:rPr>
        <w:t xml:space="preserve"> - NOT FOR FLOOR USE</w:t>
      </w:r>
    </w:p>
    <w:p>
      <w:pPr>
        <w:ind w:left="0" w:right="0" w:firstLine="576"/>
      </w:pPr>
    </w:p>
    <w:p>
      <w:pPr>
        <w:spacing w:before="480" w:after="0" w:line="408" w:lineRule="exact"/>
      </w:pPr>
      <w:r>
        <w:rPr>
          <w:b/>
          <w:u w:val="single"/>
        </w:rPr>
        <w:t xml:space="preserve">SB 5316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2022 c 297 s 954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of the department of social and health services 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sixteen years of age or older who: (i) Is not under the placement and care authority of the department of children, youth, and families; and (ii) resides in an applicant or service provider's home, facility, entity, agency, or business or who is authorized by the department of children, youth, and families to provide services to children under RCW 74.15.030;</w:t>
      </w:r>
    </w:p>
    <w:p>
      <w:pPr>
        <w:spacing w:before="0" w:after="0" w:line="408" w:lineRule="exact"/>
        <w:ind w:left="0" w:right="0" w:firstLine="576"/>
        <w:jc w:val="left"/>
      </w:pPr>
      <w:r>
        <w:rPr/>
        <w:t xml:space="preserve">(c) 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t xml:space="preserve">(d)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of social and health services.</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w:t>
      </w:r>
      <w:r>
        <w:t>((</w:t>
      </w:r>
      <w:r>
        <w:rPr>
          <w:strike/>
        </w:rPr>
        <w:t xml:space="preserve">applicant</w:t>
      </w:r>
      <w:r>
        <w:t>))</w:t>
      </w:r>
      <w:r>
        <w:rPr/>
        <w:t xml:space="preserve"> </w:t>
      </w:r>
      <w:r>
        <w:rPr>
          <w:u w:val="single"/>
        </w:rPr>
        <w:t xml:space="preserve">foster care and child care applicants</w:t>
      </w:r>
      <w:r>
        <w:rPr/>
        <w:t xml:space="preserve"> and service providers </w:t>
      </w:r>
      <w:r>
        <w:t>((</w:t>
      </w:r>
      <w:r>
        <w:rPr>
          <w:strike/>
        </w:rPr>
        <w:t xml:space="preserve">providing foster care as required in RCW 74.15.030</w:t>
      </w:r>
      <w:r>
        <w:t>))</w:t>
      </w:r>
      <w:r>
        <w:rPr/>
        <w:t xml:space="preserve">.</w:t>
      </w:r>
    </w:p>
    <w:p>
      <w:pPr>
        <w:spacing w:before="0" w:after="0" w:line="408" w:lineRule="exact"/>
        <w:ind w:left="0" w:right="0" w:firstLine="576"/>
        <w:jc w:val="left"/>
      </w:pPr>
      <w:r>
        <w:rPr/>
        <w:t xml:space="preserve">(5) 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 except for those long-term care workers exempted in subsection (2) of this section,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applicable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 </w:t>
      </w:r>
      <w:r>
        <w:rPr>
          <w:u w:val="single"/>
        </w:rPr>
        <w:t xml:space="preserve">and</w:t>
      </w:r>
    </w:p>
    <w:p>
      <w:pPr>
        <w:spacing w:before="0" w:after="0" w:line="408" w:lineRule="exact"/>
        <w:ind w:left="0" w:right="0" w:firstLine="576"/>
        <w:jc w:val="left"/>
      </w:pPr>
      <w:r>
        <w:rPr/>
        <w:t xml:space="preserve">(f) Services in, or to residents of, a secure facility under RCW 71.09.115</w:t>
      </w:r>
      <w:r>
        <w:t>((</w:t>
      </w:r>
      <w:r>
        <w:rPr>
          <w:strike/>
        </w:rPr>
        <w:t xml:space="preserve">; and</w:t>
      </w:r>
    </w:p>
    <w:p>
      <w:pPr>
        <w:spacing w:before="0" w:after="0" w:line="408" w:lineRule="exact"/>
        <w:ind w:left="0" w:right="0" w:firstLine="576"/>
        <w:jc w:val="left"/>
      </w:pPr>
      <w:r>
        <w:rPr>
          <w:strike/>
        </w:rPr>
        <w:t xml:space="preserve">(g) For fiscal year 2023, applicants for child care and early learning services to children under RCW 43.216.270</w:t>
      </w:r>
      <w:r>
        <w:t>))</w:t>
      </w:r>
      <w:r>
        <w:rPr/>
        <w:t xml:space="preserve">.</w:t>
      </w:r>
    </w:p>
    <w:p>
      <w:pPr>
        <w:spacing w:before="0" w:after="0" w:line="408" w:lineRule="exact"/>
        <w:ind w:left="0" w:right="0" w:firstLine="576"/>
        <w:jc w:val="left"/>
      </w:pPr>
      <w:r>
        <w:rPr/>
        <w:t xml:space="preserve">(8) </w:t>
      </w:r>
      <w:r>
        <w:t>((</w:t>
      </w:r>
      <w:r>
        <w:rPr>
          <w:strike/>
        </w:rPr>
        <w:t xml:space="preserve">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strike/>
        </w:rPr>
        <w:t xml:space="preserve">(9) Department of children, youth, and families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strike/>
        </w:rPr>
        <w:t xml:space="preserve">(10)</w:t>
      </w:r>
      <w:r>
        <w:t>))</w:t>
      </w:r>
      <w:r>
        <w:rPr/>
        <w:t xml:space="preserve"> The department of social and health services and the department of children, youth, and families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For purposes of this section, unless the context plainly indicates otherwise:</w:t>
      </w:r>
    </w:p>
    <w:p>
      <w:pPr>
        <w:spacing w:before="0" w:after="0" w:line="408" w:lineRule="exact"/>
        <w:ind w:left="0" w:right="0" w:firstLine="576"/>
        <w:jc w:val="left"/>
      </w:pPr>
      <w:r>
        <w:rPr/>
        <w:t xml:space="preserve">(a) "Applicant" means a current or prospective department of social and health services, department of children, youth, and families,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of social and health services or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 or</w:t>
      </w:r>
    </w:p>
    <w:p>
      <w:pPr>
        <w:spacing w:before="0" w:after="0" w:line="408" w:lineRule="exact"/>
        <w:ind w:left="0" w:right="0" w:firstLine="576"/>
        <w:jc w:val="left"/>
      </w:pPr>
      <w:r>
        <w:rPr/>
        <w:t xml:space="preserve">(v) A department of social and health services or department of children, youth, and families applicant who will or may work in a department-covered position.</w:t>
      </w:r>
    </w:p>
    <w:p>
      <w:pPr>
        <w:spacing w:before="0" w:after="0" w:line="408" w:lineRule="exact"/>
        <w:ind w:left="0" w:right="0" w:firstLine="576"/>
        <w:jc w:val="left"/>
      </w:pPr>
      <w:r>
        <w:rPr/>
        <w:t xml:space="preserve">(b)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of social and health services or department of children, youth, and families program; or</w:t>
      </w:r>
    </w:p>
    <w:p>
      <w:pPr>
        <w:spacing w:before="0" w:after="0" w:line="408" w:lineRule="exact"/>
        <w:ind w:left="0" w:right="0" w:firstLine="576"/>
        <w:jc w:val="left"/>
      </w:pPr>
      <w:r>
        <w:rPr/>
        <w:t xml:space="preserve">(iv) Work or serve in a department of social and health services or department of children, youth, and families-covered position.</w:t>
      </w:r>
    </w:p>
    <w:p>
      <w:pPr>
        <w:spacing w:before="0" w:after="0" w:line="408" w:lineRule="exact"/>
        <w:ind w:left="0" w:right="0" w:firstLine="576"/>
        <w:jc w:val="left"/>
      </w:pPr>
      <w:r>
        <w:rPr/>
        <w:t xml:space="preserve">(c) "Secretary" means the secretary of the department of social and health services.</w:t>
      </w:r>
    </w:p>
    <w:p>
      <w:pPr>
        <w:spacing w:before="0" w:after="0" w:line="408" w:lineRule="exact"/>
        <w:ind w:left="0" w:right="0" w:firstLine="576"/>
        <w:jc w:val="left"/>
      </w:pPr>
      <w:r>
        <w:rPr/>
        <w:t xml:space="preserve">(d) "Secure facility" has the meaning provided in RCW 71.09.020.</w:t>
      </w:r>
    </w:p>
    <w:p>
      <w:pPr>
        <w:spacing w:before="0" w:after="0" w:line="408" w:lineRule="exact"/>
        <w:ind w:left="0" w:right="0" w:firstLine="576"/>
        <w:jc w:val="left"/>
      </w:pPr>
      <w:r>
        <w:rPr/>
        <w:t xml:space="preserve">(e)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270</w:t>
      </w:r>
      <w:r>
        <w:rPr/>
        <w:t xml:space="preserve"> and 2022 c 297 s 960 are each amended to read as follows:</w:t>
      </w:r>
    </w:p>
    <w:p>
      <w:pPr>
        <w:spacing w:before="0" w:after="0" w:line="408" w:lineRule="exact"/>
        <w:ind w:left="0" w:right="0" w:firstLine="576"/>
        <w:jc w:val="left"/>
      </w:pPr>
      <w:r>
        <w:rPr/>
        <w:t xml:space="preserve">(1)(a)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(b) The department may not deny or delay a license to provide child care and early learning services under this chapter to an individual solely because of a founded finding of physical abuse or negligent treatment or maltreatment involving the individual revealed in the background check process or solely because the individual's child was found by a court to be dependent as a result of a finding that the individual abused or neglected their child pursuant to RCW 13.34.030(6)(b) when that founded finding or court finding is accompanied by a certificate of parental improvement as defined in chapter 74.13 RCW related to the same incident.</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child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w:t>
      </w:r>
      <w:r>
        <w:t>((</w:t>
      </w:r>
      <w:r>
        <w:rPr>
          <w:strike/>
        </w:rPr>
        <w:t xml:space="preserve">(i)</w:t>
      </w:r>
      <w:r>
        <w:t>))</w:t>
      </w:r>
      <w:r>
        <w:rPr/>
        <w:t xml:space="preserve"> All individuals applying for first-time agency licenses, all new employees, and other persons who have not been previously qualified by the department to have unsupervised access to children in child care must be fingerprinted and obtain a criminal history record check pursuant to this section.</w:t>
      </w:r>
    </w:p>
    <w:p>
      <w:pPr>
        <w:spacing w:before="0" w:after="0" w:line="408" w:lineRule="exact"/>
        <w:ind w:left="0" w:right="0" w:firstLine="576"/>
        <w:jc w:val="left"/>
      </w:pPr>
      <w:r>
        <w:t>((</w:t>
      </w:r>
      <w:r>
        <w:rPr>
          <w:strike/>
        </w:rPr>
        <w:t xml:space="preserve">(ii) Except during fiscal year 2023, persons required to be fingerprinted and obtain a criminal history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r>
        <w:t>))</w:t>
      </w:r>
    </w:p>
    <w:p>
      <w:pPr>
        <w:spacing w:before="0" w:after="0" w:line="408" w:lineRule="exact"/>
        <w:ind w:left="0" w:right="0" w:firstLine="576"/>
        <w:jc w:val="left"/>
      </w:pPr>
      <w:r>
        <w:rPr/>
        <w:t xml:space="preserve">(c) The secretary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child care, must submit a new background application to the department. </w:t>
      </w:r>
      <w:r>
        <w:t>((</w:t>
      </w:r>
      <w:r>
        <w:rPr>
          <w:strike/>
        </w:rPr>
        <w:t xml:space="preserve">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r>
        <w:t>))</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child care. The background check clearance card or certificate is valid for </w:t>
      </w:r>
      <w:r>
        <w:t>((</w:t>
      </w:r>
      <w:r>
        <w:rPr>
          <w:strike/>
        </w:rPr>
        <w:t xml:space="preserve">three</w:t>
      </w:r>
      <w:r>
        <w:t>))</w:t>
      </w:r>
      <w:r>
        <w:rPr/>
        <w:t xml:space="preserve"> </w:t>
      </w:r>
      <w:r>
        <w:rPr>
          <w:u w:val="single"/>
        </w:rPr>
        <w:t xml:space="preserve">five</w:t>
      </w:r>
      <w:r>
        <w:rPr/>
        <w:t xml:space="preserve"> years from the date of issuance. A valid card or certificate must be accepted by a potential employer as proof that the applicant has successfully completed a background check as required under this chapter. For purposes of renewal of the background clearance card or certificate, all agency licensees holding a license, persons who are employees, and persons who have been previously qualified by the department, must submit a new background application to the department on a date to be determined by the department. </w:t>
      </w:r>
      <w:r>
        <w:t>((</w:t>
      </w:r>
      <w:r>
        <w:rPr>
          <w:strike/>
        </w:rPr>
        <w:t xml:space="preserve">Except during fiscal year 2023, fee requirements applicable to this section also apply to background clearance renewal applications.</w:t>
      </w:r>
      <w:r>
        <w:t>))</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child care shall submit a new background check application to the department, on a form and by a date as determined by the department.</w:t>
      </w:r>
    </w:p>
    <w:p>
      <w:pPr>
        <w:spacing w:before="0" w:after="0" w:line="408" w:lineRule="exact"/>
        <w:ind w:left="0" w:right="0" w:firstLine="576"/>
        <w:jc w:val="left"/>
      </w:pPr>
      <w:r>
        <w:rPr/>
        <w:t xml:space="preserve">(h) </w:t>
      </w:r>
      <w:r>
        <w:t>((</w:t>
      </w:r>
      <w:r>
        <w:rPr>
          <w:strike/>
        </w:rPr>
        <w:t xml:space="preserve">The payment requirements applicable to (a) through (g) of this subsection do not apply to persons who:</w:t>
      </w:r>
    </w:p>
    <w:p>
      <w:pPr>
        <w:spacing w:before="0" w:after="0" w:line="408" w:lineRule="exact"/>
        <w:ind w:left="0" w:right="0" w:firstLine="576"/>
        <w:jc w:val="left"/>
      </w:pPr>
      <w:r>
        <w:rPr>
          <w:strike/>
        </w:rPr>
        <w:t xml:space="preserve">(i) Provide regularly scheduled care for a child or children in the home of the provider or in the home of the child or children for periods of less than twenty-four hours or, if necessary due to the nature of the parent's work, for periods equal to or greater than twenty-four hours;</w:t>
      </w:r>
    </w:p>
    <w:p>
      <w:pPr>
        <w:spacing w:before="0" w:after="0" w:line="408" w:lineRule="exact"/>
        <w:ind w:left="0" w:right="0" w:firstLine="576"/>
        <w:jc w:val="left"/>
      </w:pPr>
      <w:r>
        <w:rPr>
          <w:strike/>
        </w:rPr>
        <w:t xml:space="preserve">(ii) Receive child care subsidies; and</w:t>
      </w:r>
    </w:p>
    <w:p>
      <w:pPr>
        <w:spacing w:before="0" w:after="0" w:line="408" w:lineRule="exact"/>
        <w:ind w:left="0" w:right="0" w:firstLine="576"/>
        <w:jc w:val="left"/>
      </w:pPr>
      <w:r>
        <w:rPr>
          <w:strike/>
        </w:rPr>
        <w:t xml:space="preserve">(iii) Are exempt from licensing under this chapter.</w:t>
      </w:r>
    </w:p>
    <w:p>
      <w:pPr>
        <w:spacing w:before="0" w:after="0" w:line="408" w:lineRule="exact"/>
        <w:ind w:left="0" w:right="0" w:firstLine="576"/>
        <w:jc w:val="left"/>
      </w:pPr>
      <w:r>
        <w:rPr>
          <w:strike/>
        </w:rPr>
        <w:t xml:space="preserve">(i)</w:t>
      </w:r>
      <w:r>
        <w:t>))</w:t>
      </w:r>
      <w:r>
        <w:rPr/>
        <w:t xml:space="preserve"> The applicant and agency shall maintain on-site for inspection a copy of the background check clearance card or certificate.</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43.216.325 and 43.216.327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children, youth, and families, the office of the superintendent of public instruction, and the department of social and health services, each department shall share federal fingerprint-based background check results as permitted under the law. The purpose of this provision is to allow these departments to fulfill their joint background check responsibility of checking any individual who may have unsupervised access to vulnerable adults, children, or juveniles. These departments may not share the federal background check results with any other state agency or person.</w:t>
      </w:r>
    </w:p>
    <w:p>
      <w:pPr>
        <w:spacing w:before="0" w:after="0" w:line="408" w:lineRule="exact"/>
        <w:ind w:left="0" w:right="0" w:firstLine="576"/>
        <w:jc w:val="left"/>
      </w:pPr>
      <w:r>
        <w:rPr/>
        <w:t xml:space="preserve">(4) Individuals who have completed a fingerprint background check as required by the office of the superintendent of public instruction, consistent with RCW 28A.400.303, and have been continuously employed by the same school district or educational service district, can meet the requirements in subsection (2) of this section by providing a true and accurate copy of their Washington state patrol and federal bureau of investigation background check report results to the department or if the school district or the educational service district provides an affidavit to the department that the individual has been authorized to work by the school district or educational service district after completing a record check consistent with RCW 28A.400.303. The department may require that additional background checks be completed that do not require additional fingerprinting </w:t>
      </w:r>
      <w:r>
        <w:t>((</w:t>
      </w:r>
      <w:r>
        <w:rPr>
          <w:strike/>
        </w:rPr>
        <w:t xml:space="preserve">and, except during fiscal year 2023, may charge a fee for these additional background checks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271</w:t>
      </w:r>
      <w:r>
        <w:rPr/>
        <w:t xml:space="preserve"> and 2021 c 304 s 12 are each amended to read as follows:</w:t>
      </w:r>
    </w:p>
    <w:p>
      <w:pPr>
        <w:spacing w:before="0" w:after="0" w:line="408" w:lineRule="exact"/>
        <w:ind w:left="0" w:right="0" w:firstLine="576"/>
        <w:jc w:val="left"/>
      </w:pPr>
      <w:r>
        <w:t>((</w:t>
      </w:r>
      <w:r>
        <w:rPr>
          <w:strike/>
        </w:rPr>
        <w:t xml:space="preserve">Subject to appropriation, the</w:t>
      </w:r>
      <w:r>
        <w:t>))</w:t>
      </w:r>
      <w:r>
        <w:rPr/>
        <w:t xml:space="preserve"> </w:t>
      </w:r>
      <w:r>
        <w:rPr>
          <w:u w:val="single"/>
        </w:rPr>
        <w:t xml:space="preserve">The</w:t>
      </w:r>
      <w:r>
        <w:rPr/>
        <w:t xml:space="preserve"> department shall maintain an individual-based or portable background check clearance registry. Any individual seeking a child care license or employment in any child care facility or outdoor nature-based child care program licensed or regulated under current law shall submit a background application on a form prescribed by the department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216</w:t>
      </w:r>
      <w:r>
        <w:rPr/>
        <w:t xml:space="preserve">.</w:t>
      </w:r>
      <w:r>
        <w:t xml:space="preserve">272</w:t>
      </w:r>
      <w:r>
        <w:rPr/>
        <w:t xml:space="preserve"> (Fee for developing and administering individual-based/portable background check clearance registry) and 2017 3rd sp.s. c 6 s 208 &amp; 2011 c 295 s 4; and</w:t>
      </w:r>
    </w:p>
    <w:p>
      <w:pPr>
        <w:spacing w:before="0" w:after="0" w:line="408" w:lineRule="exact"/>
        <w:ind w:left="0" w:right="0" w:firstLine="576"/>
        <w:jc w:val="left"/>
      </w:pPr>
      <w:r>
        <w:t xml:space="preserve">(2) </w:t>
      </w:r>
      <w:r>
        <w:rPr/>
        <w:t xml:space="preserve">RCW </w:t>
      </w:r>
      <w:r>
        <w:t xml:space="preserve">43</w:t>
      </w:r>
      <w:r>
        <w:rPr/>
        <w:t xml:space="preserve">.</w:t>
      </w:r>
      <w:r>
        <w:t xml:space="preserve">216</w:t>
      </w:r>
      <w:r>
        <w:rPr/>
        <w:t xml:space="preserve">.</w:t>
      </w:r>
      <w:r>
        <w:t xml:space="preserve">273</w:t>
      </w:r>
      <w:r>
        <w:rPr/>
        <w:t xml:space="preserve"> (Individual-based/portable background check clearance account) and 2017 3rd sp.s. c 6 s 209 &amp; 2011 c 295 s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65a309eace4007" /></Relationships>
</file>