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d9d41271d4d25" /></Relationships>
</file>

<file path=word/document.xml><?xml version="1.0" encoding="utf-8"?>
<w:document xmlns:w="http://schemas.openxmlformats.org/wordprocessingml/2006/main">
  <w:body>
    <w:p>
      <w:r>
        <w:rPr>
          <w:b/>
        </w:rPr>
        <w:r>
          <w:rPr/>
          <w:t xml:space="preserve">5588-S</w:t>
        </w:r>
      </w:r>
      <w:r>
        <w:rPr>
          <w:b/>
        </w:rPr>
        <w:t xml:space="preserve"> </w:t>
        <w:t xml:space="preserve">AMH</w:t>
      </w:r>
      <w:r>
        <w:rPr>
          <w:b/>
        </w:rPr>
        <w:t xml:space="preserve"> </w:t>
        <w:r>
          <w:rPr/>
          <w:t xml:space="preserve">CSJR</w:t>
        </w:r>
      </w:r>
      <w:r>
        <w:rPr>
          <w:b/>
        </w:rPr>
        <w:t xml:space="preserve"> </w:t>
        <w:r>
          <w:rPr/>
          <w:t xml:space="preserve">H3372.1</w:t>
        </w:r>
      </w:r>
      <w:r>
        <w:rPr>
          <w:b/>
        </w:rPr>
        <w:t xml:space="preserve"> - NOT FOR FLOOR USE</w:t>
      </w:r>
    </w:p>
    <w:p>
      <w:pPr>
        <w:ind w:left="0" w:right="0" w:firstLine="576"/>
      </w:pPr>
    </w:p>
    <w:p>
      <w:pPr>
        <w:spacing w:before="480" w:after="0" w:line="408" w:lineRule="exact"/>
      </w:pPr>
      <w:r>
        <w:rPr>
          <w:b/>
          <w:u w:val="single"/>
        </w:rPr>
        <w:t xml:space="preserve">SSB 5588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w:t>
      </w:r>
      <w:r>
        <w:t>((</w:t>
      </w:r>
      <w:r>
        <w:rPr>
          <w:strike/>
        </w:rPr>
        <w:t xml:space="preserve">(a)</w:t>
      </w:r>
      <w:r>
        <w:t>))</w:t>
      </w:r>
      <w:r>
        <w:rPr/>
        <w:t xml:space="preserve"> </w:t>
      </w:r>
      <w:r>
        <w:rPr>
          <w:u w:val="single"/>
        </w:rPr>
        <w:t xml:space="preserve">For a defendant participating in this sentencing alternative, the court and correctional facility may delay the defendant's release from total confinement in order to facilitate adherence to the defendant's treatment plan. This may include delaying release in order to:</w:t>
      </w:r>
    </w:p>
    <w:p>
      <w:pPr>
        <w:spacing w:before="0" w:after="0" w:line="408" w:lineRule="exact"/>
        <w:ind w:left="0" w:right="0" w:firstLine="576"/>
        <w:jc w:val="left"/>
      </w:pPr>
      <w:r>
        <w:rPr>
          <w:u w:val="single"/>
        </w:rPr>
        <w:t xml:space="preserve">(a) Allow a defendant to transfer directly to an inpatient treatment facility or supportive housing provider;</w:t>
      </w:r>
    </w:p>
    <w:p>
      <w:pPr>
        <w:spacing w:before="0" w:after="0" w:line="408" w:lineRule="exact"/>
        <w:ind w:left="0" w:right="0" w:firstLine="576"/>
        <w:jc w:val="left"/>
      </w:pPr>
      <w:r>
        <w:rPr>
          <w:u w:val="single"/>
        </w:rPr>
        <w:t xml:space="preserve">(b) Ensure appropriate transportation is established and available; or</w:t>
      </w:r>
    </w:p>
    <w:p>
      <w:pPr>
        <w:spacing w:before="0" w:after="0" w:line="408" w:lineRule="exact"/>
        <w:ind w:left="0" w:right="0" w:firstLine="576"/>
        <w:jc w:val="left"/>
      </w:pPr>
      <w:r>
        <w:rPr>
          <w:u w:val="single"/>
        </w:rPr>
        <w:t xml:space="preserve">(c) Release the defendant during business hours on a weekday when services are available.</w:t>
      </w:r>
    </w:p>
    <w:p>
      <w:pPr>
        <w:spacing w:before="0" w:after="0" w:line="408" w:lineRule="exact"/>
        <w:ind w:left="0" w:right="0" w:firstLine="576"/>
        <w:jc w:val="left"/>
      </w:pPr>
      <w:r>
        <w:rPr>
          <w:u w:val="single"/>
        </w:rPr>
        <w:t xml:space="preserve">(7)(a)</w:t>
      </w:r>
      <w:r>
        <w:rPr/>
        <w:t xml:space="preserve">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w:t>
      </w:r>
      <w:r>
        <w:rPr>
          <w:u w:val="single"/>
        </w:rPr>
        <w:t xml:space="preserve">actively</w:t>
      </w:r>
      <w:r>
        <w:rPr/>
        <w:t xml:space="preserv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t>((</w:t>
      </w:r>
      <w:r>
        <w:rPr>
          <w:strike/>
        </w:rPr>
        <w:t xml:space="preserve">(12)</w:t>
      </w:r>
      <w:r>
        <w:t>))</w:t>
      </w:r>
      <w:r>
        <w:rPr/>
        <w:t xml:space="preserve"> </w:t>
      </w:r>
      <w:r>
        <w:rPr>
          <w:u w:val="single"/>
        </w:rPr>
        <w:t xml:space="preserve">(13) The health care authority shall directly reimburse behavioral health providers for:</w:t>
      </w:r>
    </w:p>
    <w:p>
      <w:pPr>
        <w:spacing w:before="0" w:after="0" w:line="408" w:lineRule="exact"/>
        <w:ind w:left="0" w:right="0" w:firstLine="576"/>
        <w:jc w:val="left"/>
      </w:pPr>
      <w:r>
        <w:rPr>
          <w:u w:val="single"/>
        </w:rPr>
        <w:t xml:space="preserve">(a) Conducting in-custody evaluations and developing treatment plans for individuals recommended for this sentencing alternative; and</w:t>
      </w:r>
    </w:p>
    <w:p>
      <w:pPr>
        <w:spacing w:before="0" w:after="0" w:line="408" w:lineRule="exact"/>
        <w:ind w:left="0" w:right="0" w:firstLine="576"/>
        <w:jc w:val="left"/>
      </w:pPr>
      <w:r>
        <w:rPr>
          <w:u w:val="single"/>
        </w:rPr>
        <w:t xml:space="preserve">(b) Monitoring the individual's compliance with this sentencing alternative, including reporting to the court and the department of corrections.</w:t>
      </w:r>
    </w:p>
    <w:p>
      <w:pPr>
        <w:spacing w:before="0" w:after="0" w:line="408" w:lineRule="exact"/>
        <w:ind w:left="0" w:right="0" w:firstLine="576"/>
        <w:jc w:val="left"/>
      </w:pPr>
      <w:r>
        <w:rPr>
          <w:u w:val="single"/>
        </w:rPr>
        <w:t xml:space="preserve">(14)</w:t>
      </w:r>
      <w:r>
        <w:rPr/>
        <w:t xml:space="preserve"> For the purposes of this section:</w:t>
      </w:r>
    </w:p>
    <w:p>
      <w:pPr>
        <w:spacing w:before="0" w:after="0" w:line="408" w:lineRule="exact"/>
        <w:ind w:left="0" w:right="0" w:firstLine="576"/>
        <w:jc w:val="left"/>
      </w:pPr>
      <w:r>
        <w:rPr/>
        <w:t xml:space="preserve">(a) </w:t>
      </w:r>
      <w:r>
        <w:rPr>
          <w:u w:val="single"/>
        </w:rPr>
        <w:t xml:space="preserve">"Behavioral health provider" has the same meaning as in RCW 71.24.025.</w:t>
      </w:r>
    </w:p>
    <w:p>
      <w:pPr>
        <w:spacing w:before="0" w:after="0" w:line="408" w:lineRule="exact"/>
        <w:ind w:left="0" w:right="0" w:firstLine="576"/>
        <w:jc w:val="left"/>
      </w:pPr>
      <w:r>
        <w:rPr>
          <w:u w:val="single"/>
        </w:rPr>
        <w:t xml:space="preserve">(b)</w:t>
      </w:r>
      <w:r>
        <w:rPr/>
        <w:t xml:space="preserve">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2025, the authority shall require that any contract with a managed care organization include a requirement that the managed care organization prioritize existing care coordination responsibilities, including in-custody mental health evaluations, treatment plan development, and same-day prescription access, for incarcerated individuals who are recommended for the mental health sentencing alternative under RCW 9.94A.695."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 to when the court is determining whether to impose, or has imposed, a Mental Health Sentencing Alternative:</w:t>
      </w:r>
    </w:p>
    <w:p>
      <w:pPr>
        <w:spacing w:before="0" w:after="0" w:line="408" w:lineRule="exact"/>
        <w:ind w:left="0" w:right="0" w:firstLine="576"/>
        <w:jc w:val="left"/>
      </w:pPr>
      <w:r>
        <w:rPr/>
        <w:t xml:space="preserve">Restores the statutory requirement, unless waived by the court, for the Department of Corrections to include in its presentence investigation a proposed treatment plan for the defendant's mental illness.</w:t>
      </w:r>
    </w:p>
    <w:p>
      <w:pPr>
        <w:spacing w:before="0" w:after="0" w:line="408" w:lineRule="exact"/>
        <w:ind w:left="0" w:right="0" w:firstLine="576"/>
        <w:jc w:val="left"/>
      </w:pPr>
      <w:r>
        <w:rPr/>
        <w:t xml:space="preserve">Provides that the court or correctional facility may delay the defendant's release from total confinement in order to facilitate adherence to the defendant's treatment plan.</w:t>
      </w:r>
    </w:p>
    <w:p>
      <w:pPr>
        <w:spacing w:before="0" w:after="0" w:line="408" w:lineRule="exact"/>
        <w:ind w:left="0" w:right="0" w:firstLine="576"/>
        <w:jc w:val="left"/>
      </w:pPr>
      <w:r>
        <w:rPr/>
        <w:t xml:space="preserve">Requires the Health Care Authority (HCA) to directly reimburse behavioral health providers for conducting in-custody evaluations, developing treatment plans, and monitoring the individual's compliance with the sentencing alternative.</w:t>
      </w:r>
    </w:p>
    <w:p>
      <w:pPr>
        <w:spacing w:before="0" w:after="0" w:line="408" w:lineRule="exact"/>
        <w:ind w:left="0" w:right="0" w:firstLine="576"/>
        <w:jc w:val="left"/>
      </w:pPr>
      <w:r>
        <w:rPr/>
        <w:t xml:space="preserve">Provides that, beginning January 1, 2025, the HCA must require that any contract with a Managed Care Organization (MCO) include a requirement that the MCO prioritize existing care coordination responsibilities, including in-custody mental health evaluations, treatment plan development, and same-day prescription access for incarcerated individuals who are recommended for the sentencing alternative.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64271df244bc4" /></Relationships>
</file>