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F0AA3" w14:paraId="5DAC9D21" w14:textId="7F476C9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71BB0">
            <w:t>5588-S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71BB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71BB0">
            <w:t>DAVI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71BB0">
            <w:t>LANG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71BB0">
            <w:t>073</w:t>
          </w:r>
        </w:sdtContent>
      </w:sdt>
    </w:p>
    <w:p w:rsidR="00DF5D0E" w:rsidP="00B73E0A" w:rsidRDefault="00AA1230" w14:paraId="4214E4F0" w14:textId="0B9765F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F0AA3" w14:paraId="369F9EE2" w14:textId="5DFCD08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71BB0">
            <w:rPr>
              <w:b/>
              <w:u w:val="single"/>
            </w:rPr>
            <w:t>SSB 5588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71BB0">
            <w:t>H AMD TO APP COMM AMD (H-3442.1/24)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1180</w:t>
          </w:r>
        </w:sdtContent>
      </w:sdt>
    </w:p>
    <w:p w:rsidR="00DF5D0E" w:rsidP="00605C39" w:rsidRDefault="003F0AA3" w14:paraId="249F19D2" w14:textId="68BCD25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71BB0">
            <w:rPr>
              <w:sz w:val="22"/>
            </w:rPr>
            <w:t>By Representative Davis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71BB0" w14:paraId="06AE5F57" w14:textId="03DF9BD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03/01/2024</w:t>
          </w:r>
        </w:p>
      </w:sdtContent>
    </w:sdt>
    <w:p w:rsidRPr="00980FFA" w:rsidR="00F9219B" w:rsidP="00980FFA" w:rsidRDefault="00DE256E" w14:paraId="661D060F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215051681"/>
      <w:r w:rsidRPr="000D2E0D">
        <w:rPr>
          <w:spacing w:val="0"/>
        </w:rPr>
        <w:tab/>
      </w:r>
      <w:r w:rsidRPr="00980FFA" w:rsidR="00F9219B">
        <w:rPr>
          <w:spacing w:val="0"/>
        </w:rPr>
        <w:t>On page 5, beginning on line 4 of the striking amendment, after "a" strike "term of total or partial confinement within the" and insert "((</w:t>
      </w:r>
      <w:r w:rsidRPr="00980FFA" w:rsidR="00F9219B">
        <w:rPr>
          <w:strike/>
          <w:spacing w:val="0"/>
        </w:rPr>
        <w:t>term of total or partial confinement within the</w:t>
      </w:r>
      <w:r w:rsidRPr="00980FFA" w:rsidR="00F9219B">
        <w:rPr>
          <w:spacing w:val="0"/>
        </w:rPr>
        <w:t>))"</w:t>
      </w:r>
    </w:p>
    <w:p w:rsidRPr="00980FFA" w:rsidR="00F9219B" w:rsidP="00980FFA" w:rsidRDefault="00F9219B" w14:paraId="4583E563" w14:textId="77777777">
      <w:pPr>
        <w:pStyle w:val="Page"/>
        <w:suppressAutoHyphens w:val="0"/>
        <w:rPr>
          <w:spacing w:val="0"/>
        </w:rPr>
      </w:pPr>
    </w:p>
    <w:p w:rsidRPr="00980FFA" w:rsidR="00F9219B" w:rsidP="00980FFA" w:rsidRDefault="00F9219B" w14:paraId="107F081D" w14:textId="566FF3C1">
      <w:pPr>
        <w:pStyle w:val="Page"/>
        <w:suppressAutoHyphens w:val="0"/>
        <w:rPr>
          <w:spacing w:val="0"/>
        </w:rPr>
      </w:pPr>
      <w:r w:rsidRPr="00980FFA">
        <w:rPr>
          <w:spacing w:val="0"/>
        </w:rPr>
        <w:tab/>
        <w:t>On page 5, line 5 of the striking amendment, after "</w:t>
      </w:r>
      <w:r w:rsidR="00A108FF">
        <w:rPr>
          <w:spacing w:val="0"/>
        </w:rPr>
        <w:t>standard</w:t>
      </w:r>
      <w:r w:rsidRPr="00980FFA">
        <w:rPr>
          <w:spacing w:val="0"/>
        </w:rPr>
        <w:t xml:space="preserve">" </w:t>
      </w:r>
      <w:r w:rsidR="00A108FF">
        <w:rPr>
          <w:spacing w:val="0"/>
        </w:rPr>
        <w:t xml:space="preserve">strike "sentence range" and </w:t>
      </w:r>
      <w:r w:rsidRPr="00980FFA">
        <w:rPr>
          <w:spacing w:val="0"/>
        </w:rPr>
        <w:t>insert "</w:t>
      </w:r>
      <w:r w:rsidR="00A108FF">
        <w:rPr>
          <w:spacing w:val="0"/>
        </w:rPr>
        <w:t>((</w:t>
      </w:r>
      <w:r w:rsidRPr="00A108FF" w:rsidR="00A108FF">
        <w:rPr>
          <w:strike/>
          <w:spacing w:val="0"/>
        </w:rPr>
        <w:t>sentence</w:t>
      </w:r>
      <w:r w:rsidR="00A108FF">
        <w:rPr>
          <w:spacing w:val="0"/>
        </w:rPr>
        <w:t xml:space="preserve">)) range </w:t>
      </w:r>
      <w:r w:rsidRPr="00980FFA">
        <w:rPr>
          <w:spacing w:val="0"/>
          <w:u w:val="single"/>
        </w:rPr>
        <w:t>sentence</w:t>
      </w:r>
      <w:r w:rsidRPr="00980FFA">
        <w:rPr>
          <w:spacing w:val="0"/>
        </w:rPr>
        <w:t xml:space="preserve">" </w:t>
      </w:r>
    </w:p>
    <w:p w:rsidRPr="00980FFA" w:rsidR="00F9219B" w:rsidP="00980FFA" w:rsidRDefault="00F9219B" w14:paraId="5D43AEF3" w14:textId="77777777">
      <w:pPr>
        <w:pStyle w:val="RCWSLText"/>
        <w:suppressAutoHyphens w:val="0"/>
        <w:rPr>
          <w:spacing w:val="0"/>
        </w:rPr>
      </w:pPr>
    </w:p>
    <w:p w:rsidRPr="00980FFA" w:rsidR="00F9219B" w:rsidP="00980FFA" w:rsidRDefault="00F9219B" w14:paraId="5320E612" w14:textId="19A796AD">
      <w:pPr>
        <w:pStyle w:val="RCWSLText"/>
        <w:suppressAutoHyphens w:val="0"/>
        <w:rPr>
          <w:spacing w:val="0"/>
        </w:rPr>
      </w:pPr>
      <w:r w:rsidRPr="00980FFA">
        <w:rPr>
          <w:spacing w:val="0"/>
        </w:rPr>
        <w:tab/>
        <w:t>On page 5, line 9 of the striking amendment, after "while" insert "</w:t>
      </w:r>
      <w:r w:rsidRPr="00980FFA">
        <w:rPr>
          <w:spacing w:val="0"/>
          <w:u w:val="single"/>
        </w:rPr>
        <w:t>in compliance and</w:t>
      </w:r>
      <w:r w:rsidRPr="00980FFA">
        <w:rPr>
          <w:spacing w:val="0"/>
        </w:rPr>
        <w:t>"</w:t>
      </w:r>
    </w:p>
    <w:p w:rsidRPr="00980FFA" w:rsidR="00F9219B" w:rsidP="00980FFA" w:rsidRDefault="00F9219B" w14:paraId="2F410B05" w14:textId="77777777">
      <w:pPr>
        <w:pStyle w:val="Page"/>
        <w:suppressAutoHyphens w:val="0"/>
        <w:rPr>
          <w:spacing w:val="0"/>
        </w:rPr>
      </w:pPr>
    </w:p>
    <w:p w:rsidRPr="00980FFA" w:rsidR="000D2E0D" w:rsidP="00980FFA" w:rsidRDefault="00F9219B" w14:paraId="12BA1C08" w14:textId="6D507D14">
      <w:pPr>
        <w:pStyle w:val="Page"/>
        <w:suppressAutoHyphens w:val="0"/>
        <w:rPr>
          <w:spacing w:val="0"/>
          <w:u w:val="single"/>
        </w:rPr>
      </w:pPr>
      <w:r w:rsidRPr="00980FFA">
        <w:rPr>
          <w:spacing w:val="0"/>
        </w:rPr>
        <w:tab/>
      </w:r>
      <w:r w:rsidRPr="00980FFA" w:rsidR="00671BB0">
        <w:rPr>
          <w:spacing w:val="0"/>
        </w:rPr>
        <w:t>On</w:t>
      </w:r>
      <w:r w:rsidRPr="00980FFA" w:rsidR="000D2E0D">
        <w:rPr>
          <w:spacing w:val="0"/>
        </w:rPr>
        <w:t xml:space="preserve"> page 5, beginning on line 13 of the striking amendment, after "</w:t>
      </w:r>
      <w:r w:rsidRPr="00980FFA" w:rsidR="000D2E0D">
        <w:rPr>
          <w:spacing w:val="0"/>
          <w:u w:val="single"/>
        </w:rPr>
        <w:t>(13)</w:t>
      </w:r>
      <w:r w:rsidRPr="00980FFA" w:rsidR="000D2E0D">
        <w:rPr>
          <w:spacing w:val="0"/>
        </w:rPr>
        <w:t>" strike all material through "</w:t>
      </w:r>
      <w:r w:rsidRPr="00980FFA" w:rsidR="000D2E0D">
        <w:rPr>
          <w:spacing w:val="0"/>
          <w:u w:val="single"/>
        </w:rPr>
        <w:t>alternative</w:t>
      </w:r>
      <w:r w:rsidRPr="00980FFA" w:rsidR="000D2E0D">
        <w:rPr>
          <w:spacing w:val="0"/>
        </w:rPr>
        <w:t>" on line 26 and insert "</w:t>
      </w:r>
      <w:r w:rsidRPr="00980FFA" w:rsidR="000D2E0D">
        <w:rPr>
          <w:spacing w:val="0"/>
          <w:u w:val="single"/>
        </w:rPr>
        <w:t xml:space="preserve">The health care authority shall reimburse for the following services provided for individuals participating in the sentencing alternative: </w:t>
      </w:r>
    </w:p>
    <w:p w:rsidRPr="00980FFA" w:rsidR="000D2E0D" w:rsidP="00980FFA" w:rsidRDefault="000D2E0D" w14:paraId="08D22D23" w14:textId="77777777">
      <w:pPr>
        <w:pStyle w:val="Page"/>
        <w:suppressAutoHyphens w:val="0"/>
        <w:rPr>
          <w:spacing w:val="0"/>
          <w:u w:val="single"/>
        </w:rPr>
      </w:pPr>
      <w:r w:rsidRPr="00980FFA">
        <w:rPr>
          <w:spacing w:val="0"/>
        </w:rPr>
        <w:tab/>
      </w:r>
      <w:r w:rsidRPr="00980FFA">
        <w:rPr>
          <w:spacing w:val="0"/>
          <w:u w:val="single"/>
        </w:rPr>
        <w:t xml:space="preserve">(a) In-custody mental health assessments; </w:t>
      </w:r>
    </w:p>
    <w:p w:rsidRPr="00980FFA" w:rsidR="000D2E0D" w:rsidP="00980FFA" w:rsidRDefault="000D2E0D" w14:paraId="021A3D1C" w14:textId="77777777">
      <w:pPr>
        <w:pStyle w:val="Page"/>
        <w:suppressAutoHyphens w:val="0"/>
        <w:rPr>
          <w:spacing w:val="0"/>
          <w:u w:val="single"/>
        </w:rPr>
      </w:pPr>
      <w:r w:rsidRPr="00980FFA">
        <w:rPr>
          <w:spacing w:val="0"/>
        </w:rPr>
        <w:tab/>
      </w:r>
      <w:r w:rsidRPr="00980FFA">
        <w:rPr>
          <w:spacing w:val="0"/>
          <w:u w:val="single"/>
        </w:rPr>
        <w:t xml:space="preserve">(b) In-custody preliminary treatment plan development; and </w:t>
      </w:r>
    </w:p>
    <w:p w:rsidRPr="00980FFA" w:rsidR="000D2E0D" w:rsidP="00980FFA" w:rsidRDefault="000D2E0D" w14:paraId="43A700C9" w14:textId="77777777">
      <w:pPr>
        <w:pStyle w:val="Page"/>
        <w:suppressAutoHyphens w:val="0"/>
        <w:rPr>
          <w:spacing w:val="0"/>
        </w:rPr>
      </w:pPr>
      <w:r w:rsidRPr="00980FFA">
        <w:rPr>
          <w:spacing w:val="0"/>
        </w:rPr>
        <w:tab/>
      </w:r>
      <w:r w:rsidRPr="00980FFA">
        <w:rPr>
          <w:spacing w:val="0"/>
          <w:u w:val="single"/>
        </w:rPr>
        <w:t>(c) Ongoing monitoring of the defendant's adherence to the defendant's treatment plan and the requirements of the sentencing alternative, including reporting to the court and the department</w:t>
      </w:r>
      <w:r w:rsidRPr="00980FFA">
        <w:rPr>
          <w:spacing w:val="0"/>
        </w:rPr>
        <w:t>"</w:t>
      </w:r>
    </w:p>
    <w:p w:rsidRPr="00980FFA" w:rsidR="000D2E0D" w:rsidP="00980FFA" w:rsidRDefault="000D2E0D" w14:paraId="78D5FFE7" w14:textId="77777777">
      <w:pPr>
        <w:pStyle w:val="RCWSLText"/>
        <w:suppressAutoHyphens w:val="0"/>
        <w:rPr>
          <w:spacing w:val="0"/>
        </w:rPr>
      </w:pPr>
    </w:p>
    <w:p w:rsidRPr="00980FFA" w:rsidR="000D2E0D" w:rsidP="00980FFA" w:rsidRDefault="000D2E0D" w14:paraId="44C72C71" w14:textId="77777777">
      <w:pPr>
        <w:pStyle w:val="RCWSLText"/>
        <w:suppressAutoHyphens w:val="0"/>
        <w:rPr>
          <w:spacing w:val="0"/>
        </w:rPr>
      </w:pPr>
      <w:r w:rsidRPr="00980FFA">
        <w:rPr>
          <w:spacing w:val="0"/>
        </w:rPr>
        <w:tab/>
        <w:t>On page 5, beginning on line 28 of the striking amendment, strike all of subsection (a)</w:t>
      </w:r>
    </w:p>
    <w:p w:rsidRPr="00980FFA" w:rsidR="000D2E0D" w:rsidP="00980FFA" w:rsidRDefault="000D2E0D" w14:paraId="2800B7B4" w14:textId="77777777">
      <w:pPr>
        <w:pStyle w:val="RCWSLText"/>
        <w:suppressAutoHyphens w:val="0"/>
        <w:rPr>
          <w:spacing w:val="0"/>
        </w:rPr>
      </w:pPr>
    </w:p>
    <w:p w:rsidRPr="00980FFA" w:rsidR="00DF5D0E" w:rsidP="00980FFA" w:rsidRDefault="000D2E0D" w14:paraId="70C2BAA1" w14:textId="768B3CD9">
      <w:pPr>
        <w:pStyle w:val="RCWSLText"/>
        <w:suppressAutoHyphens w:val="0"/>
        <w:rPr>
          <w:spacing w:val="0"/>
        </w:rPr>
      </w:pPr>
      <w:r w:rsidRPr="00980FFA">
        <w:rPr>
          <w:spacing w:val="0"/>
        </w:rPr>
        <w:tab/>
        <w:t>Reletter the remaining subsections consecutively and correct any internal references accordingly.</w:t>
      </w:r>
    </w:p>
    <w:permEnd w:id="215051681"/>
    <w:p w:rsidR="00ED2EEB" w:rsidP="00671BB0" w:rsidRDefault="00ED2EEB" w14:paraId="20EADE2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91334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65FBA4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71BB0" w:rsidRDefault="00D659AC" w14:paraId="6D59722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D2E0D" w:rsidP="00671BB0" w:rsidRDefault="0096303F" w14:paraId="7E31BBA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</w:p>
              <w:p w:rsidR="004C0822" w:rsidP="006D6B42" w:rsidRDefault="006D6B42" w14:paraId="771E0EE0" w14:textId="122985F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ind w:left="504" w:hanging="144"/>
                </w:pPr>
                <w:r>
                  <w:lastRenderedPageBreak/>
                  <w:t xml:space="preserve">Provides that, at a termination hearing, the court may revoke the </w:t>
                </w:r>
                <w:r w:rsidR="00435255">
                  <w:t>Mental Health S</w:t>
                </w:r>
                <w:r>
                  <w:t xml:space="preserve">entencing </w:t>
                </w:r>
                <w:r w:rsidR="00435255">
                  <w:t>A</w:t>
                </w:r>
                <w:r>
                  <w:t xml:space="preserve">lternative and impose a standard range sentence, rather than a term of total or partial confinement within the standard sentence range. </w:t>
                </w:r>
              </w:p>
              <w:p w:rsidR="006D6B42" w:rsidP="006D6B42" w:rsidRDefault="004C0822" w14:paraId="020BEC15" w14:textId="7D569168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ind w:left="504" w:hanging="144"/>
                </w:pPr>
                <w:r>
                  <w:t>P</w:t>
                </w:r>
                <w:r w:rsidR="006D6B42">
                  <w:t xml:space="preserve">rovides that, if the sentencing alternative is revoked, the defendant must receive credit </w:t>
                </w:r>
                <w:r w:rsidR="004B743C">
                  <w:t>against any term of total</w:t>
                </w:r>
                <w:r w:rsidR="00926004">
                  <w:t xml:space="preserve"> </w:t>
                </w:r>
                <w:r w:rsidR="004B743C">
                  <w:t xml:space="preserve">confinement </w:t>
                </w:r>
                <w:r w:rsidR="006D6B42">
                  <w:t xml:space="preserve">for time served while in compliance and actively supervised in the community, rather than while actively </w:t>
                </w:r>
                <w:r>
                  <w:t xml:space="preserve">supervised </w:t>
                </w:r>
                <w:r w:rsidR="006D6B42">
                  <w:t>in the community.</w:t>
                </w:r>
              </w:p>
              <w:p w:rsidR="006D6B42" w:rsidP="006D6B42" w:rsidRDefault="000D2E0D" w14:paraId="436667F2" w14:textId="5A391D7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ind w:left="504" w:hanging="144"/>
                </w:pPr>
                <w:r>
                  <w:t>Re</w:t>
                </w:r>
                <w:r w:rsidR="006D6B42">
                  <w:t xml:space="preserve">moves the requirement for the Health Care Authority (HCA) to contract with a behavioral health agency, or an organization whose membership includes behavioral health agencies, to reimburse behavioral health providers, in an amount not to exceed $1,000 per individual participating in the </w:t>
                </w:r>
                <w:r w:rsidR="00435255">
                  <w:t>s</w:t>
                </w:r>
                <w:r w:rsidR="006D6B42">
                  <w:t xml:space="preserve">entencing </w:t>
                </w:r>
                <w:r w:rsidR="00435255">
                  <w:t>a</w:t>
                </w:r>
                <w:r w:rsidR="006D6B42">
                  <w:t>lternative, for the following services: in-custody mental health assessments, treatment plan development, monitoring the defendant's adherence to the treatment plan and the sentencing alternative, and reporting to the court and the Department of Corrections; instead requires the HCA to reimburse directly for those services, without the reimbursement limit of $1,000 per individual.</w:t>
                </w:r>
              </w:p>
              <w:p w:rsidRPr="007D1589" w:rsidR="001B4E53" w:rsidP="006D6B42" w:rsidRDefault="006D6B42" w14:paraId="30707C5D" w14:textId="6F7191A1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ind w:left="504" w:hanging="144"/>
                </w:pPr>
                <w:r>
                  <w:t>Removes a definition of "behavioral health provider."</w:t>
                </w:r>
              </w:p>
            </w:tc>
          </w:tr>
        </w:sdtContent>
      </w:sdt>
      <w:permEnd w:id="1369133463"/>
    </w:tbl>
    <w:p w:rsidR="00DF5D0E" w:rsidP="00671BB0" w:rsidRDefault="00DF5D0E" w14:paraId="0179FC01" w14:textId="77777777">
      <w:pPr>
        <w:pStyle w:val="BillEnd"/>
        <w:suppressLineNumbers/>
      </w:pPr>
    </w:p>
    <w:p w:rsidR="00DF5D0E" w:rsidP="00671BB0" w:rsidRDefault="00DE256E" w14:paraId="3FC56D6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71BB0" w:rsidRDefault="00AB682C" w14:paraId="14030DB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314D" w14:textId="77777777" w:rsidR="00671BB0" w:rsidRDefault="00671BB0" w:rsidP="00DF5D0E">
      <w:r>
        <w:separator/>
      </w:r>
    </w:p>
  </w:endnote>
  <w:endnote w:type="continuationSeparator" w:id="0">
    <w:p w14:paraId="33E9B9DA" w14:textId="77777777" w:rsidR="00671BB0" w:rsidRDefault="00671BB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56F8" w:rsidRDefault="00EE56F8" w14:paraId="355FF45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F0AA3" w14:paraId="5E1DBAD8" w14:textId="286FD2D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C19F3">
      <w:t>5588-S AMH DAVI LANG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F0AA3" w14:paraId="15D71A39" w14:textId="636BB6D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C19F3">
      <w:t>5588-S AMH DAVI LANG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101A" w14:textId="77777777" w:rsidR="00671BB0" w:rsidRDefault="00671BB0" w:rsidP="00DF5D0E">
      <w:r>
        <w:separator/>
      </w:r>
    </w:p>
  </w:footnote>
  <w:footnote w:type="continuationSeparator" w:id="0">
    <w:p w14:paraId="706035C3" w14:textId="77777777" w:rsidR="00671BB0" w:rsidRDefault="00671BB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CB8E" w14:textId="77777777" w:rsidR="00EE56F8" w:rsidRDefault="00EE5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99B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0C03E7" wp14:editId="19FE8B2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48B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AE87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8C0B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9291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9F514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29F9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6582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C5EFC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170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B391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F26D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A727F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5A126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591E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FF0DA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F441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7DB6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BEF6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C0F19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A3ED8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04E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048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5F81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6F319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71D13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1925D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70ED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EBFE2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24F55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8988D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F8B5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F53A4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6D945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85EF6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C03E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B448BA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AE875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8C0B1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9291E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9F514C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29F9E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6582F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C5EFCD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1701F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B391E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F26DF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A727FE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5A126C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591E6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FF0DA5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F4416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7DB61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BEF6C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C0F190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A3ED88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04E65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048B4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5F816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6F3194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71D13E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1925D3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70ED2F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EBFE20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24F55B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8988DF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F8B554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F53A47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6D945F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85EF65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53F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2D805B" wp14:editId="4DA2027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4A6A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609BE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ED224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D900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0214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CD7E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E82B6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7A40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5690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2EC21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C3ED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7B97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812B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870B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39E2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FAAC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4C06B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F75C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A45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EE5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0E1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8C14C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AA5D3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A01D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910E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D8DFB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50A1D8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D805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1D4A6A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609BE3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ED224C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D900D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02143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CD7EB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E82B69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7A40B6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56905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2EC213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C3ED8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7B97F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812B8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870BE1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39E24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FAAC12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4C06BE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F75C8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A4521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EE5A6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0E182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8C14CA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AA5D31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A01D4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910E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D8DFB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50A1D8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5192391"/>
    <w:multiLevelType w:val="hybridMultilevel"/>
    <w:tmpl w:val="6270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238109">
    <w:abstractNumId w:val="5"/>
  </w:num>
  <w:num w:numId="2" w16cid:durableId="156387623">
    <w:abstractNumId w:val="3"/>
  </w:num>
  <w:num w:numId="3" w16cid:durableId="460344967">
    <w:abstractNumId w:val="2"/>
  </w:num>
  <w:num w:numId="4" w16cid:durableId="914051450">
    <w:abstractNumId w:val="1"/>
  </w:num>
  <w:num w:numId="5" w16cid:durableId="779029025">
    <w:abstractNumId w:val="0"/>
  </w:num>
  <w:num w:numId="6" w16cid:durableId="1510372054">
    <w:abstractNumId w:val="4"/>
  </w:num>
  <w:num w:numId="7" w16cid:durableId="731541530">
    <w:abstractNumId w:val="5"/>
  </w:num>
  <w:num w:numId="8" w16cid:durableId="279971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41B6"/>
    <w:rsid w:val="000C6C82"/>
    <w:rsid w:val="000D2E0D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F0AA3"/>
    <w:rsid w:val="00435255"/>
    <w:rsid w:val="004713EC"/>
    <w:rsid w:val="00492DDC"/>
    <w:rsid w:val="004B1C5F"/>
    <w:rsid w:val="004B743C"/>
    <w:rsid w:val="004C0822"/>
    <w:rsid w:val="004C6615"/>
    <w:rsid w:val="004E52CB"/>
    <w:rsid w:val="005115F9"/>
    <w:rsid w:val="00523C5A"/>
    <w:rsid w:val="005E69C3"/>
    <w:rsid w:val="00605C39"/>
    <w:rsid w:val="00671BB0"/>
    <w:rsid w:val="006841E6"/>
    <w:rsid w:val="006D6B42"/>
    <w:rsid w:val="006F7027"/>
    <w:rsid w:val="007049E4"/>
    <w:rsid w:val="0072335D"/>
    <w:rsid w:val="0072541D"/>
    <w:rsid w:val="00757317"/>
    <w:rsid w:val="007769AF"/>
    <w:rsid w:val="007C19F3"/>
    <w:rsid w:val="007D1589"/>
    <w:rsid w:val="007D35D4"/>
    <w:rsid w:val="0083749C"/>
    <w:rsid w:val="008443FE"/>
    <w:rsid w:val="00846034"/>
    <w:rsid w:val="008C7E6E"/>
    <w:rsid w:val="00926004"/>
    <w:rsid w:val="00931B84"/>
    <w:rsid w:val="0096303F"/>
    <w:rsid w:val="00972869"/>
    <w:rsid w:val="00980FFA"/>
    <w:rsid w:val="00984CD1"/>
    <w:rsid w:val="009F23A9"/>
    <w:rsid w:val="00A01F29"/>
    <w:rsid w:val="00A05AD4"/>
    <w:rsid w:val="00A108FF"/>
    <w:rsid w:val="00A17B5B"/>
    <w:rsid w:val="00A4729B"/>
    <w:rsid w:val="00A93D4A"/>
    <w:rsid w:val="00AA1230"/>
    <w:rsid w:val="00AB682C"/>
    <w:rsid w:val="00AD2D0A"/>
    <w:rsid w:val="00AF0F37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D43AC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56F8"/>
    <w:rsid w:val="00F229DE"/>
    <w:rsid w:val="00F304D3"/>
    <w:rsid w:val="00F4663F"/>
    <w:rsid w:val="00F9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6381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2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5588-S</BillDocName>
  <AmendType>AMH</AmendType>
  <SponsorAcronym>DAVI</SponsorAcronym>
  <DrafterAcronym>LANG</DrafterAcronym>
  <DraftNumber>073</DraftNumber>
  <ReferenceNumber>SSB 5588</ReferenceNumber>
  <Floor>H AMD TO APP COMM AMD (H-3442.1/24)</Floor>
  <AmendmentNumber> 1180</AmendmentNumber>
  <Sponsors>By Representative Davis</Sponsors>
  <FloorAction>ADOPTED 03/01/2024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381</Words>
  <Characters>2198</Characters>
  <Application>Microsoft Office Word</Application>
  <DocSecurity>8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5588-S AMH DAVI LANG 073</vt:lpstr>
    </vt:vector>
  </TitlesOfParts>
  <Company>Washington State Legislature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5588-S AMH DAVI LANG 073</dc:title>
  <dc:creator>Lena Langer</dc:creator>
  <cp:lastModifiedBy>Langer, Lena</cp:lastModifiedBy>
  <cp:revision>19</cp:revision>
  <dcterms:created xsi:type="dcterms:W3CDTF">2024-02-29T16:41:00Z</dcterms:created>
  <dcterms:modified xsi:type="dcterms:W3CDTF">2024-02-29T17:26:00Z</dcterms:modified>
</cp:coreProperties>
</file>