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f3b1e510044d3" /></Relationships>
</file>

<file path=word/document.xml><?xml version="1.0" encoding="utf-8"?>
<w:document xmlns:w="http://schemas.openxmlformats.org/wordprocessingml/2006/main">
  <w:body>
    <w:p>
      <w:r>
        <w:rPr>
          <w:b/>
        </w:rPr>
        <w:r>
          <w:rPr/>
          <w:t xml:space="preserve">5696-S</w:t>
        </w:r>
      </w:r>
      <w:r>
        <w:rPr>
          <w:b/>
        </w:rPr>
        <w:t xml:space="preserve"> </w:t>
        <w:t xml:space="preserve">AMH</w:t>
      </w:r>
      <w:r>
        <w:rPr>
          <w:b/>
        </w:rPr>
        <w:t xml:space="preserve"> </w:t>
        <w:r>
          <w:rPr/>
          <w:t xml:space="preserve">APP</w:t>
        </w:r>
      </w:r>
      <w:r>
        <w:rPr>
          <w:b/>
        </w:rPr>
        <w:t xml:space="preserve"> </w:t>
        <w:r>
          <w:rPr/>
          <w:t xml:space="preserve">H1732.1</w:t>
        </w:r>
      </w:r>
      <w:r>
        <w:rPr>
          <w:b/>
        </w:rPr>
        <w:t xml:space="preserve"> - NOT FOR FLOOR USE</w:t>
      </w:r>
    </w:p>
    <w:p>
      <w:pPr>
        <w:ind w:left="0" w:right="0" w:firstLine="576"/>
      </w:pPr>
    </w:p>
    <w:p>
      <w:pPr>
        <w:spacing w:before="480" w:after="0" w:line="408" w:lineRule="exact"/>
      </w:pPr>
      <w:r>
        <w:rPr>
          <w:b/>
          <w:u w:val="single"/>
        </w:rPr>
        <w:t xml:space="preserve">SSB 5696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 or other political subdivisions, or retired or disabled employees of tribal governments</w:t>
      </w:r>
      <w:r>
        <w:t>))</w:t>
      </w:r>
      <w:r>
        <w:rPr/>
        <w:t xml:space="preserve"> </w:t>
      </w:r>
      <w:r>
        <w:rPr>
          <w:u w:val="single"/>
        </w:rPr>
        <w:t xml:space="preserve">employer groups</w:t>
      </w:r>
      <w:r>
        <w:rPr/>
        <w:t xml:space="preserve">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employer groups whose contractual agreement with the authority terminates may continue their participation in insurance plans and contracts after the contractual agreement is terminated. The retired or disabled employees of employer groups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Employer groups that enter into a contractual agreement with the authority after the effective date of this act and whose contractual agreement with the authority is subsequently terminated, shall make a one-time payment as calculated in subsection (2) of this section to the authority for each of the employer group's retired or disabled employees who continue their participation in insurance plans and contracts under RCW 41.05.080(1)(a)(ii).</w:t>
      </w:r>
    </w:p>
    <w:p>
      <w:pPr>
        <w:spacing w:before="0" w:after="0" w:line="408" w:lineRule="exact"/>
        <w:ind w:left="0" w:right="0" w:firstLine="576"/>
        <w:jc w:val="left"/>
      </w:pPr>
      <w:r>
        <w:rPr/>
        <w:t xml:space="preserve">(2) For each of the employer group's retired or disabled employees who will be continuing their participation, the authority shall determine the one-time payment amount by calculating the difference in cost between the rate charged to retired or disabled employees under RCW 41.05.080(2) and the actuarially determined value of the medical benefits for retired and disabled employees who are not eligible for parts A and B of medicare, and then multiplying that difference by the number of months until the retired or disabled employee would become eligible for medicare.</w:t>
      </w:r>
    </w:p>
    <w:p>
      <w:pPr>
        <w:spacing w:before="0" w:after="0" w:line="408" w:lineRule="exact"/>
        <w:ind w:left="0" w:right="0" w:firstLine="576"/>
        <w:jc w:val="left"/>
      </w:pPr>
      <w:r>
        <w:rPr/>
        <w:t xml:space="preserve">(3) Employer groups shall not be entitled to any refund of the amount paid to the authority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retired or disabled employee whose participation in insurance plans or contracts under RCW 41.05.080(1)(a)(ii) ended due to the termination of the contractual agreement between the authority and an employer group on or before January 1, 2023, must be allowed to return and participate in insurance plans and contracts as described in RCW 41.05.080(1)(a)(ii)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references to counties, municipalities, tribal governments or other political subdivisions to instead refer to "employer groups," the definition of which includes these governmental organizations.</w:t>
      </w:r>
    </w:p>
    <w:p>
      <w:pPr>
        <w:spacing w:before="0" w:after="0" w:line="408" w:lineRule="exact"/>
        <w:ind w:left="0" w:right="0" w:firstLine="576"/>
        <w:jc w:val="left"/>
      </w:pPr>
      <w:r>
        <w:rPr/>
        <w:t xml:space="preserve">Adds that employer groups that contract to participate in the public employees' benefits board program (PEBB) after the effective date of the act and subsequently withdraw from PEBB must make a one-time payment into the program. Specifies this payment is for the actuarial cost of monthly subsidies for premedicare retirees that will continue to be eligible for PEBB retiree coverage under the terms of the bill.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4f906974a4e32" /></Relationships>
</file>