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cc91da1ab40eb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1048-S.E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S2945.1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1048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277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ADOPTED 04/05/2023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3, line 39, after "(5)" strike all material through "</w:t>
      </w:r>
      <w:r>
        <w:rPr>
          <w:u w:val="single"/>
        </w:rPr>
        <w:t xml:space="preserve">(6)</w:t>
      </w:r>
      <w:r>
        <w:rPr/>
        <w:t xml:space="preserve">" on page 4, line 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18, strike all of subsection (8)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beginning on line 30, after "electorate." strike all material through "</w:t>
      </w:r>
      <w:r>
        <w:rPr>
          <w:u w:val="single"/>
        </w:rPr>
        <w:t xml:space="preserve">cohesive.</w:t>
      </w:r>
      <w:r>
        <w:rPr/>
        <w:t xml:space="preserve">" on line 33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Removes language allowing courts to find a violation of the Washington Voting Rights Act (WVRA) has occurred if the affected protected class is not compact in the political subdivision.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Requires that coalitions of multiple protected classes jointly filing a claim of a WVRA violation demonstrate that each member of the coalition is internally cohesive.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89349410840a1" /></Relationships>
</file>