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50b93f39c45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S3151.1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"(2)(b)" insert "</w:t>
      </w:r>
      <w:r>
        <w:rPr>
          <w:u w:val="single"/>
        </w:rPr>
        <w:t xml:space="preserve">(ii), only for </w:t>
      </w:r>
      <w:r>
        <w:rPr>
          <w:u w:val="single"/>
        </w:rPr>
        <w:t xml:space="preserve">separation that was necessary because the care for a child or a vulnerable adult in the claimant's care is inaccessible,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benefits paid because care for a child or vulnerable adult in the claimant's care is inaccessible shall not be charged to the experience rating account of any contribution paying employer.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9a9dac2734144" /></Relationships>
</file>