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e4c1f45ff4614" /></Relationships>
</file>

<file path=word/document.xml><?xml version="1.0" encoding="utf-8"?>
<w:document xmlns:w="http://schemas.openxmlformats.org/wordprocessingml/2006/main">
  <w:body>
    <w:p>
      <w:r>
        <w:rPr>
          <w:b/>
        </w:rPr>
        <w:r>
          <w:rPr/>
          <w:t xml:space="preserve">1110-S2.E</w:t>
        </w:r>
      </w:r>
      <w:r>
        <w:rPr>
          <w:b/>
        </w:rPr>
        <w:t xml:space="preserve"> </w:t>
        <w:t xml:space="preserve">AMS</w:t>
      </w:r>
      <w:r>
        <w:rPr>
          <w:b/>
        </w:rPr>
        <w:t xml:space="preserve"> </w:t>
        <w:r>
          <w:rPr/>
          <w:t xml:space="preserve">HSG</w:t>
        </w:r>
      </w:r>
      <w:r>
        <w:rPr>
          <w:b/>
        </w:rPr>
        <w:t xml:space="preserve"> </w:t>
        <w:r>
          <w:rPr/>
          <w:t xml:space="preserve">S2555.1</w:t>
        </w:r>
      </w:r>
      <w:r>
        <w:rPr>
          <w:b/>
        </w:rPr>
        <w:t xml:space="preserve"> - NOT FOR FLOOR USE</w:t>
      </w:r>
    </w:p>
    <w:p>
      <w:pPr>
        <w:ind w:left="0" w:right="0" w:firstLine="576"/>
      </w:pPr>
    </w:p>
    <w:p>
      <w:pPr>
        <w:spacing w:before="480" w:after="0" w:line="408" w:lineRule="exact"/>
      </w:pPr>
      <w:r>
        <w:rPr>
          <w:b/>
          <w:u w:val="single"/>
        </w:rPr>
        <w:t xml:space="preserve">E2SHB 1110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CONSIDERED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shortage for its current population and without significant action will not meet its goal of creating 1,000,000 homes by 2044.</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To unlock opportunity for Washingtonians it is necessary to lift bans on the development of modest home choices in cities near job centers, transit, and amenity-rich neighborhoods.</w:t>
      </w:r>
    </w:p>
    <w:p>
      <w:pPr>
        <w:spacing w:before="0" w:after="0" w:line="408" w:lineRule="exact"/>
        <w:ind w:left="0" w:right="0" w:firstLine="576"/>
        <w:jc w:val="left"/>
      </w:pPr>
      <w:r>
        <w:rPr/>
        <w:t xml:space="preserve">Homes developed at higher densities and gentle density housing types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design review" means a development permit process whereby an application is reviewed, approved, or denied by the planning director or the planning director's designee based solely on objective design and development standards without a public meeting or hearing, unless such review is otherwise required by state or federal law, or the structure is a designated landmark or historic district established under a local preservation ordinance.</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u w:val="single"/>
        </w:rPr>
        <w:t xml:space="preserve">(8) "Courtyard apartments" means up to four attached dwelling units arranged on two or three sides of a yard or court.</w:t>
      </w:r>
    </w:p>
    <w:p>
      <w:pPr>
        <w:spacing w:before="0" w:after="0" w:line="408" w:lineRule="exact"/>
        <w:ind w:left="0" w:right="0" w:firstLine="576"/>
        <w:jc w:val="left"/>
      </w:pPr>
      <w:r>
        <w:rPr>
          <w:u w:val="single"/>
        </w:rPr>
        <w:t xml:space="preserve">(9)</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(20)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including transitways; or</w:t>
      </w:r>
    </w:p>
    <w:p>
      <w:pPr>
        <w:spacing w:before="0" w:after="0" w:line="408" w:lineRule="exact"/>
        <w:ind w:left="0" w:right="0" w:firstLine="576"/>
        <w:jc w:val="left"/>
      </w:pPr>
      <w:r>
        <w:rPr>
          <w:u w:val="single"/>
        </w:rPr>
        <w:t xml:space="preserve">(d) Stops on bus rapid transit routes.</w:t>
      </w:r>
    </w:p>
    <w:p>
      <w:pPr>
        <w:spacing w:before="0" w:after="0" w:line="408" w:lineRule="exact"/>
        <w:ind w:left="0" w:right="0" w:firstLine="576"/>
        <w:jc w:val="left"/>
      </w:pPr>
      <w:r>
        <w:rPr>
          <w:u w:val="single"/>
        </w:rPr>
        <w:t xml:space="preserve">(21)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u w:val="single"/>
        </w:rPr>
        <w:t xml:space="preserve">(22)</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(32)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u w:val="single"/>
        </w:rPr>
        <w:t xml:space="preserve">(33)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u w:val="single"/>
        </w:rPr>
        <w:t xml:space="preserve">(34)</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(35)</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(36)</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(37)</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(38)</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section 4 or 5 of this act,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that are not within a contiguous urban growth area with the largest city in a county with a population of more than 275,000,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w:t>
      </w:r>
    </w:p>
    <w:p>
      <w:pPr>
        <w:spacing w:before="0" w:after="0" w:line="408" w:lineRule="exact"/>
        <w:ind w:left="0" w:right="0" w:firstLine="576"/>
        <w:jc w:val="left"/>
      </w:pPr>
      <w:r>
        <w:rPr/>
        <w:t xml:space="preserve">(ii) The development of at least four units per lot on all lots zoned predominantly for residential use within one-half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if at least one unit is affordable housing.</w:t>
      </w:r>
    </w:p>
    <w:p>
      <w:pPr>
        <w:spacing w:before="0" w:after="0" w:line="408" w:lineRule="exact"/>
        <w:ind w:left="0" w:right="0" w:firstLine="576"/>
        <w:jc w:val="left"/>
      </w:pPr>
      <w:r>
        <w:rPr/>
        <w:t xml:space="preserve">(b) For cities with a population of at least 75,000, or any city within a contiguous urban growth area with the largest city in a county with a population of more than 275,000,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w:t>
      </w:r>
    </w:p>
    <w:p>
      <w:pPr>
        <w:spacing w:before="0" w:after="0" w:line="408" w:lineRule="exact"/>
        <w:ind w:left="0" w:right="0" w:firstLine="576"/>
        <w:jc w:val="left"/>
      </w:pPr>
      <w:r>
        <w:rPr/>
        <w:t xml:space="preserve">(ii) The development of at least six units per lot on all lots zoned predominantly for residential use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if at least two units are affordable housing.</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 A city must allow at least six of the nine types of middle housing to achieve the unit density required in subsection (1) of this section. A city may allow accessory dwelling units to achieve the unit density required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(5) Any city subject to the requirements of this section:</w:t>
      </w:r>
    </w:p>
    <w:p>
      <w:pPr>
        <w:spacing w:before="0" w:after="0" w:line="408" w:lineRule="exact"/>
        <w:ind w:left="0" w:right="0" w:firstLine="576"/>
        <w:jc w:val="left"/>
      </w:pPr>
      <w:r>
        <w:rPr/>
        <w:t xml:space="preserve">(a) May only adopt objective development and design standards on the development of middle housing;</w:t>
      </w:r>
    </w:p>
    <w:p>
      <w:pPr>
        <w:spacing w:before="0" w:after="0" w:line="408" w:lineRule="exact"/>
        <w:ind w:left="0" w:right="0" w:firstLine="576"/>
        <w:jc w:val="left"/>
      </w:pPr>
      <w:r>
        <w:rPr/>
        <w:t xml:space="preserve">(b) May only apply administrative design review for middle housing;</w:t>
      </w:r>
    </w:p>
    <w:p>
      <w:pPr>
        <w:spacing w:before="0" w:after="0" w:line="408" w:lineRule="exact"/>
        <w:ind w:left="0" w:right="0" w:firstLine="576"/>
        <w:jc w:val="left"/>
      </w:pPr>
      <w:r>
        <w:rPr/>
        <w:t xml:space="preserve">(c)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set-back and tree canopy and retention requirements;</w:t>
      </w:r>
    </w:p>
    <w:p>
      <w:pPr>
        <w:spacing w:before="0" w:after="0" w:line="408" w:lineRule="exact"/>
        <w:ind w:left="0" w:right="0" w:firstLine="576"/>
        <w:jc w:val="left"/>
      </w:pPr>
      <w:r>
        <w:rPr/>
        <w:t xml:space="preserve">(d)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(e)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(f) Shall not require more than one off-street parking space per unit as a condition of permitting development of middle housing on lots smaller than 6,000 square feet;</w:t>
      </w:r>
    </w:p>
    <w:p>
      <w:pPr>
        <w:spacing w:before="0" w:after="0" w:line="408" w:lineRule="exact"/>
        <w:ind w:left="0" w:right="0" w:firstLine="576"/>
        <w:jc w:val="left"/>
      </w:pPr>
      <w:r>
        <w:rPr/>
        <w:t xml:space="preserve">(g) Shall not require more than two off-street parking spaces per unit as a condition of permitting development of middle housing on lots greater than 6,000 square feet; and</w:t>
      </w:r>
    </w:p>
    <w:p>
      <w:pPr>
        <w:spacing w:before="0" w:after="0" w:line="408" w:lineRule="exact"/>
        <w:ind w:left="0" w:right="0" w:firstLine="576"/>
        <w:jc w:val="left"/>
      </w:pPr>
      <w:r>
        <w:rPr/>
        <w:t xml:space="preserve">(h) May impose a limit of two units on a residential lot of 2,000 square feet or less created through a lot split pursuant to RCW 36.70A.--- (section 2, chapter . . . (ESHB 1245), Laws of 2023).</w:t>
      </w:r>
    </w:p>
    <w:p>
      <w:pPr>
        <w:spacing w:before="0" w:after="0" w:line="408" w:lineRule="exact"/>
        <w:ind w:left="0" w:right="0" w:firstLine="576"/>
        <w:jc w:val="left"/>
      </w:pPr>
      <w:r>
        <w:rPr/>
        <w:t xml:space="preserve">(6) The provisions of subsection (5)(e) through (g)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(5)(e) through (g)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(7) The provisions of this section do not apply to lots designated with critical areas or their buffers as designated in RCW 36.70A.060, or to a watershed serving a reservoir for potable water if that watershed is or was listed, as of the effective date of this section, as impaired or threatened under section 303(d) of the federal clean water act (33 U.S.C. Sec. 1313(d)).</w:t>
      </w:r>
    </w:p>
    <w:p>
      <w:pPr>
        <w:spacing w:before="0" w:after="0" w:line="408" w:lineRule="exact"/>
        <w:ind w:left="0" w:right="0" w:firstLine="576"/>
        <w:jc w:val="left"/>
      </w:pPr>
      <w:r>
        <w:rPr/>
        <w:t xml:space="preserve">(8) Nothing in this section prohibits a city from permitting detached single-family residences.</w:t>
      </w:r>
    </w:p>
    <w:p>
      <w:pPr>
        <w:spacing w:before="0" w:after="0" w:line="408" w:lineRule="exact"/>
        <w:ind w:left="0" w:right="0" w:firstLine="576"/>
        <w:jc w:val="left"/>
      </w:pPr>
      <w:r>
        <w:rPr/>
        <w:t xml:space="preserve">(9)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(10) A city must comply with the requirements of this section or section 4 of this act on the latter of:</w:t>
      </w:r>
    </w:p>
    <w:p>
      <w:pPr>
        <w:spacing w:before="0" w:after="0" w:line="408" w:lineRule="exact"/>
        <w:ind w:left="0" w:right="0" w:firstLine="576"/>
        <w:jc w:val="left"/>
      </w:pPr>
      <w:r>
        <w:rPr/>
        <w:t xml:space="preserve">(a) Six months after its next periodic comprehensive plan update required under RCW 36.70A.130; or</w:t>
      </w:r>
    </w:p>
    <w:p>
      <w:pPr>
        <w:spacing w:before="0" w:after="0" w:line="408" w:lineRule="exact"/>
        <w:ind w:left="0" w:right="0" w:firstLine="576"/>
        <w:jc w:val="left"/>
      </w:pPr>
      <w:r>
        <w:rPr/>
        <w:t xml:space="preserve">(b) 12 months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(11) A city complying with this section and not granted a timeline extension under section 10 of this act does not have to update its capital facilities plan element required by RCW 36.70A.070(3) to accommodate the increased housing required by this act until the first periodic comprehensive plan update required for the city under RCW 36.70A.130(5) that occurs on or after June 30, 2034.</w:t>
      </w:r>
    </w:p>
    <w:p>
      <w:pPr>
        <w:spacing w:before="0" w:after="0" w:line="408" w:lineRule="exact"/>
        <w:ind w:left="0" w:right="0" w:firstLine="576"/>
        <w:jc w:val="left"/>
      </w:pPr>
      <w:r>
        <w:rPr/>
        <w:t xml:space="preserve">(12) Any city that adopts development regulations consistent with the requirements of this section shall be considered in compliance with RCW 36.70A.070(2)(f) until June 30, 2032, and shall have until the first periodic comprehensive plan update required for the city under RCW 36.70A.130(5) that occurs on or after June 30, 2034, to comply with RCW 36.70A.070(2)(f).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As an alternative to the density requirements in section 3(1) of this act, a city may implement the density requirements in section 3(1) of this act for at least 75 percent of lots in the city that are primarily dedicated to single-family detached housing units.</w:t>
      </w:r>
    </w:p>
    <w:p>
      <w:pPr>
        <w:spacing w:before="0" w:after="0" w:line="408" w:lineRule="exact"/>
        <w:ind w:left="0" w:right="0" w:firstLine="576"/>
        <w:jc w:val="left"/>
      </w:pPr>
      <w:r>
        <w:rPr/>
        <w:t xml:space="preserve">(2) The 25 percent of lots for which the requirements of section 3(1) of this act are not implemented must include:</w:t>
      </w:r>
    </w:p>
    <w:p>
      <w:pPr>
        <w:spacing w:before="0" w:after="0" w:line="408" w:lineRule="exact"/>
        <w:ind w:left="0" w:right="0" w:firstLine="576"/>
        <w:jc w:val="left"/>
      </w:pPr>
      <w:r>
        <w:rPr/>
        <w:t xml:space="preserve">(a) Any areas within the city for which the department has certified an extension of the implementation timelines under section 8 of this act due to the risk of displacement;</w:t>
      </w:r>
    </w:p>
    <w:p>
      <w:pPr>
        <w:spacing w:before="0" w:after="0" w:line="408" w:lineRule="exact"/>
        <w:ind w:left="0" w:right="0" w:firstLine="576"/>
        <w:jc w:val="left"/>
      </w:pPr>
      <w:r>
        <w:rPr/>
        <w:t xml:space="preserve">(b) Any areas within the city for which the department has certified an extension of the implementation timelines under section 10 of this act due to a lack of infrastructure capacity;</w:t>
      </w:r>
    </w:p>
    <w:p>
      <w:pPr>
        <w:spacing w:before="0" w:after="0" w:line="408" w:lineRule="exact"/>
        <w:ind w:left="0" w:right="0" w:firstLine="576"/>
        <w:jc w:val="left"/>
      </w:pPr>
      <w:r>
        <w:rPr/>
        <w:t xml:space="preserve">(c) Any lots designated with critical areas or their buffers that are exempt from the density requirements as provided in section 3(7) of this act;</w:t>
      </w:r>
    </w:p>
    <w:p>
      <w:pPr>
        <w:spacing w:before="0" w:after="0" w:line="408" w:lineRule="exact"/>
        <w:ind w:left="0" w:right="0" w:firstLine="576"/>
        <w:jc w:val="left"/>
      </w:pPr>
      <w:r>
        <w:rPr/>
        <w:t xml:space="preserve">(d) Any portion of a city within a one-mile radius of a commercial airport with at least 9,000,000 annual enplanements that is exempt from the parking requirements under section 3(6)(b) of this act; and</w:t>
      </w:r>
    </w:p>
    <w:p>
      <w:pPr>
        <w:spacing w:before="0" w:after="0" w:line="408" w:lineRule="exact"/>
        <w:ind w:left="0" w:right="0" w:firstLine="576"/>
        <w:jc w:val="left"/>
      </w:pPr>
      <w:r>
        <w:rPr/>
        <w:t xml:space="preserve">(e) Any areas subject to sea level rise, increased flooding, or geological hazards over the next 100 years.</w:t>
      </w:r>
    </w:p>
    <w:p>
      <w:pPr>
        <w:spacing w:before="0" w:after="0" w:line="408" w:lineRule="exact"/>
        <w:ind w:left="0" w:right="0" w:firstLine="576"/>
        <w:jc w:val="left"/>
      </w:pPr>
      <w:r>
        <w:rPr/>
        <w:t xml:space="preserve">(3) Unless identified as at higher risk of displacement under RCW 36.70A.070(2)(g), the 25 percent of lots for which the requirements of section 3(1) of this act are not implemented may not include:</w:t>
      </w:r>
    </w:p>
    <w:p>
      <w:pPr>
        <w:spacing w:before="0" w:after="0" w:line="408" w:lineRule="exact"/>
        <w:ind w:left="0" w:right="0" w:firstLine="576"/>
        <w:jc w:val="left"/>
      </w:pPr>
      <w:r>
        <w:rPr/>
        <w:t xml:space="preserve">(a) Any areas for which the exclusion would further racially disparate impacts or result in zoning with a discriminatory effect;</w:t>
      </w:r>
    </w:p>
    <w:p>
      <w:pPr>
        <w:spacing w:before="0" w:after="0" w:line="408" w:lineRule="exact"/>
        <w:ind w:left="0" w:right="0" w:firstLine="576"/>
        <w:jc w:val="left"/>
      </w:pPr>
      <w:r>
        <w:rPr/>
        <w:t xml:space="preserve">(b) Any areas within one-half mile walking distance of a major transit stop; or</w:t>
      </w:r>
    </w:p>
    <w:p>
      <w:pPr>
        <w:spacing w:before="0" w:after="0" w:line="408" w:lineRule="exact"/>
        <w:ind w:left="0" w:right="0" w:firstLine="576"/>
        <w:jc w:val="left"/>
      </w:pPr>
      <w:r>
        <w:rPr/>
        <w:t xml:space="preserve">(c) Any areas historically covered by a covenant or deed restriction excluding racial minorities from owning property or living in the area, as known to the city at the time of each comprehensive plan update.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As an alternative to the density requirements in section 3(1)(b) of this act, cities with a population of less than 75,000 within a contiguous urban growth area with the largest city in a county with a population of more than 275,000, based on office of financial management population estimates, may authorize:</w:t>
      </w:r>
    </w:p>
    <w:p>
      <w:pPr>
        <w:spacing w:before="0" w:after="0" w:line="408" w:lineRule="exact"/>
        <w:ind w:left="0" w:right="0" w:firstLine="576"/>
        <w:jc w:val="left"/>
      </w:pPr>
      <w:r>
        <w:rPr/>
        <w:t xml:space="preserve">(1) The development of at least three units per lot on all lots zoned predominantly for residential use;</w:t>
      </w:r>
    </w:p>
    <w:p>
      <w:pPr>
        <w:spacing w:before="0" w:after="0" w:line="408" w:lineRule="exact"/>
        <w:ind w:left="0" w:right="0" w:firstLine="576"/>
        <w:jc w:val="left"/>
      </w:pPr>
      <w:r>
        <w:rPr/>
        <w:t xml:space="preserve">(2) The development of at least six units per lot on all lots zoned predominantly for residential use within one-quarter mile walking distance of a major transit stop; and</w:t>
      </w:r>
    </w:p>
    <w:p>
      <w:pPr>
        <w:spacing w:before="0" w:after="0" w:line="408" w:lineRule="exact"/>
        <w:ind w:left="0" w:right="0" w:firstLine="576"/>
        <w:jc w:val="left"/>
      </w:pPr>
      <w:r>
        <w:rPr/>
        <w:t xml:space="preserve">(3) The development of at least four units per lot on all lots zoned predominantly for residential use if at least one unit is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Population associated with permits for middle housing units are exempt from the threshold of an office of financial management population projection to a county or a county population allocation to a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4, or 5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six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3(10) of this act, the model ordinance supersedes, preempts, and invalidates local development regulations until the city takes all actions necessary to implement section 3, 4, or 5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alternative local action necessary to meet the requirements of this act.</w:t>
      </w:r>
    </w:p>
    <w:p>
      <w:pPr>
        <w:spacing w:before="0" w:after="0" w:line="408" w:lineRule="exact"/>
        <w:ind w:left="0" w:right="0" w:firstLine="576"/>
        <w:jc w:val="left"/>
      </w:pPr>
      <w:r>
        <w:rPr/>
        <w:t xml:space="preserve">(b) The department may approve actions under this section for cities that have, by January 1, 2023, adopted a comprehensive plan that is substantially similar to the requirements of this act and have adopted, or within one year of the effective date of this section adopts, permanent development regulations that are substantially similar to the requirements of this act. In determining whether a city's adopted comprehensive plan and permanent development regulations are substantially similar, the department must find as substantially similar plans and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for projects that incorporate dedicated affordable housing.</w:t>
      </w:r>
    </w:p>
    <w:p>
      <w:pPr>
        <w:spacing w:before="0" w:after="0" w:line="408" w:lineRule="exact"/>
        <w:ind w:left="0" w:right="0" w:firstLine="576"/>
        <w:jc w:val="left"/>
      </w:pPr>
      <w:r>
        <w:rPr/>
        <w:t xml:space="preserve">(c) The department may determine that a comprehensive plan and development regulations that do not meet these criteria are otherwise substantially similar to the requirements of this act if the city can clearly demonstrate that the regulations adopted will result in a greater increase in middle housing production within single family zones than would be allowed through implementation of section 3 of this act.</w:t>
      </w:r>
    </w:p>
    <w:p>
      <w:pPr>
        <w:spacing w:before="0" w:after="0" w:line="408" w:lineRule="exact"/>
        <w:ind w:left="0" w:right="0" w:firstLine="576"/>
        <w:jc w:val="left"/>
      </w:pPr>
      <w:r>
        <w:rPr/>
        <w:t xml:space="preserve">(d)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(e) The department's final decision to approve or reject actions by cities implementing section 3 of this act may be appealed to the growth management hearings board by filing a petition as provided in RCW 36.70A.290.</w:t>
      </w:r>
    </w:p>
    <w:p>
      <w:pPr>
        <w:spacing w:before="0" w:after="0" w:line="408" w:lineRule="exact"/>
        <w:ind w:left="0" w:right="0" w:firstLine="576"/>
        <w:jc w:val="left"/>
      </w:pPr>
      <w:r>
        <w:rPr/>
        <w:t xml:space="preserve">(4) For the purpose of this section, "single-family zones" means those zones where single-family detached housing is the predominant land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city choosing the alternative density requirements in section 4 of this act may apply to the department for, and the department may certify, an extension for areas at risk of displacement as determined by the antidisplacement analysis that a jurisdiction is required to complete under RCW 36.70A.070(2). The city must create a plan for implementing antidisplacement policies by their next implementation progress report required by RCW 36.70A.130(9).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clearly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choosing the alternative density requirements in section 4 of this act may apply to the department for, and the department may certify, an extension of the implementation timelines established under section 3(10)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stormwater, or fire protection services lack capacity to accommodate the density required in section 3 of this act, and the city has:</w:t>
      </w:r>
    </w:p>
    <w:p>
      <w:pPr>
        <w:spacing w:before="0" w:after="0" w:line="408" w:lineRule="exact"/>
        <w:ind w:left="0" w:right="0" w:firstLine="576"/>
        <w:jc w:val="left"/>
      </w:pPr>
      <w:r>
        <w:rPr/>
        <w:t xml:space="preserve">(a) Included one or more improvements, as needed, within its capital facilities plan to adequately increase capacity; or</w:t>
      </w:r>
    </w:p>
    <w:p>
      <w:pPr>
        <w:spacing w:before="0" w:after="0" w:line="408" w:lineRule="exact"/>
        <w:ind w:left="0" w:right="0" w:firstLine="576"/>
        <w:jc w:val="left"/>
      </w:pPr>
      <w:r>
        <w:rPr/>
        <w:t xml:space="preserve">(b) Identified which special district is responsible for providing the necessary infrastructure if the infrastructure is provided by a special purpose district.</w:t>
      </w:r>
    </w:p>
    <w:p>
      <w:pPr>
        <w:spacing w:before="0" w:after="0" w:line="408" w:lineRule="exact"/>
        <w:ind w:left="0" w:right="0" w:firstLine="576"/>
        <w:jc w:val="left"/>
      </w:pPr>
      <w:r>
        <w:rPr/>
        <w:t xml:space="preserve">(3) If an extension of the implementation timelines is requested due to lack of water supply from the city or the purveyors who serve water within the city, the department's evaluation of the extension must be based on the applicable water system plans in effect and approved by the department of health.</w:t>
      </w:r>
    </w:p>
    <w:p>
      <w:pPr>
        <w:spacing w:before="0" w:after="0" w:line="408" w:lineRule="exact"/>
        <w:ind w:left="0" w:right="0" w:firstLine="576"/>
        <w:jc w:val="left"/>
      </w:pPr>
      <w:r>
        <w:rPr/>
        <w:t xml:space="preserve">(4) An extension granted under this section remains in effect until the earliest of:</w:t>
      </w:r>
    </w:p>
    <w:p>
      <w:pPr>
        <w:spacing w:before="0" w:after="0" w:line="408" w:lineRule="exact"/>
        <w:ind w:left="0" w:right="0" w:firstLine="576"/>
        <w:jc w:val="left"/>
      </w:pPr>
      <w:r>
        <w:rPr/>
        <w:t xml:space="preserve">(a) The infrastructure is improved to accommodate the capacity;</w:t>
      </w:r>
    </w:p>
    <w:p>
      <w:pPr>
        <w:spacing w:before="0" w:after="0" w:line="408" w:lineRule="exact"/>
        <w:ind w:left="0" w:right="0" w:firstLine="576"/>
        <w:jc w:val="left"/>
      </w:pPr>
      <w:r>
        <w:rPr/>
        <w:t xml:space="preserve">(b) The city's deadline to complete its next periodic comprehensive plan update under RCW 36.70A.130; or</w:t>
      </w:r>
    </w:p>
    <w:p>
      <w:pPr>
        <w:spacing w:before="0" w:after="0" w:line="408" w:lineRule="exact"/>
        <w:ind w:left="0" w:right="0" w:firstLine="576"/>
        <w:jc w:val="left"/>
      </w:pPr>
      <w:r>
        <w:rPr/>
        <w:t xml:space="preserve">(c) The city's deadline to complete its implementation progress report to the department as required under RCW 36.70A.130(9).</w:t>
      </w:r>
    </w:p>
    <w:p>
      <w:pPr>
        <w:spacing w:before="0" w:after="0" w:line="408" w:lineRule="exact"/>
        <w:ind w:left="0" w:right="0" w:firstLine="576"/>
        <w:jc w:val="left"/>
      </w:pPr>
      <w:r>
        <w:rPr/>
        <w:t xml:space="preserve">(5) A city that has received an extension under this section may reapply for any needed extension with its next periodic comprehensive plan update under RCW 36.70A.130 or its implementation progress report to the department under RCW 36.70A.130(9). The application for an additional extension must include a list of infrastructure improvements necessary to meet the capacity required in section 3 of this act. Such additional extension must only be to address infrastructure deficiency that a city is not reasonably able to address within the first extension.</w:t>
      </w:r>
    </w:p>
    <w:p>
      <w:pPr>
        <w:spacing w:before="0" w:after="0" w:line="408" w:lineRule="exact"/>
        <w:ind w:left="0" w:right="0" w:firstLine="576"/>
        <w:jc w:val="left"/>
      </w:pPr>
      <w:r>
        <w:rPr/>
        <w:t xml:space="preserve">(6) The department may establish by rule any standards or procedures necessary to implement this section.</w:t>
      </w:r>
    </w:p>
    <w:p>
      <w:pPr>
        <w:spacing w:before="0" w:after="0" w:line="408" w:lineRule="exact"/>
        <w:ind w:left="0" w:right="0" w:firstLine="576"/>
        <w:jc w:val="left"/>
      </w:pPr>
      <w:r>
        <w:rPr/>
        <w:t xml:space="preserve">(7) The department must provide the legislature with a list of projects identified in a city's capital facilities plan that were the basis for the extension under this section, including planning level estimates. Additionally, the city must contact special purpose districts to identify additional projects associated with extensions under this section.</w:t>
      </w:r>
    </w:p>
    <w:p>
      <w:pPr>
        <w:spacing w:before="0" w:after="0" w:line="408" w:lineRule="exact"/>
        <w:ind w:left="0" w:right="0" w:firstLine="576"/>
        <w:jc w:val="left"/>
      </w:pPr>
      <w:r>
        <w:rPr/>
        <w:t xml:space="preserve">(8) A city granted an extension for a specific area must allow development as provided under section 3 of this act if the developer commits to providing the necessary water, sewer, or stormwater infrastructure.</w:t>
      </w:r>
    </w:p>
    <w:p>
      <w:pPr>
        <w:spacing w:before="0" w:after="0" w:line="408" w:lineRule="exact"/>
        <w:ind w:left="0" w:right="0" w:firstLine="576"/>
        <w:jc w:val="left"/>
      </w:pPr>
      <w:r>
        <w:rPr/>
        <w:t xml:space="preserve">(9) If a city or its water providers do not have an adequate water supply to serve the housing required under section 3 or 4 of this act, the city may limit the areas subject to the requirements under section 3 or 4 of this act to match the increased housing capacity with the water supply. The city shall document and the department of ecology must certify the water supply capacity and the water demand reduced by the areas not subject to the requirements under section 3 or 4 of this act in the record of the regulations adopted to implement this act.</w:t>
      </w:r>
    </w:p>
    <w:p>
      <w:pPr>
        <w:spacing w:before="0" w:after="0" w:line="408" w:lineRule="exact"/>
        <w:ind w:left="0" w:right="0" w:firstLine="576"/>
        <w:jc w:val="left"/>
      </w:pPr>
      <w:r>
        <w:rPr/>
        <w:t xml:space="preserve">(10) No city shall approve a building permit for housing under section 3 or 4 of this act without compliance with the adequate water supply requirements of RCW 19.27.097.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7(3)(b)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Amendments to development regulations to remove requirements for parking from development proposed to fill in an urban growth area designated according to RCW 36.70A.110.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city that adopts development regulations that are consistent with and implement this act and RCW 35A.21.430 or 35.21.683 shall be deemed in compliance with the requirements of RCW 36.70A.070(2)(d) until June 30, 2032, and has until the first periodic comprehensive plan update required for the city under RCW 36.70A.130(5) that occurs on or after June 30, 2034, to comply with RCW 36.70A.070(2)(d).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may establish by rule any standards or procedures necessary to implement sections 2 through 10, and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CONSIDERED 04/11/2023</w:t>
      </w:r>
    </w:p>
    <w:p>
      <w:pPr>
        <w:spacing w:before="0" w:after="0" w:line="408" w:lineRule="exact"/>
        <w:ind w:left="0" w:right="0" w:firstLine="576"/>
        <w:jc w:val="left"/>
      </w:pPr>
      <w:r>
        <w:rPr/>
        <w:t xml:space="preserve">On page 1, line 3 of the title, after "housing;" strike the remainder of the title and insert "amending RCW 36.70A.030, 36.70A.280, 43.21C.495, and 43.21C.450; adding new sections to chapter 36.70A RCW; adding a new section to chapter 64.34 RCW; adding a new section to chapter 64.32 RCW; adding a new section to chapter 64.38 RCW; adding a new section to chapter 64.90 RCW; and creating new sections."</w:t>
      </w:r>
    </w:p>
    <w:p>
      <w:pPr>
        <w:spacing w:before="0" w:after="0" w:line="408" w:lineRule="exact"/>
        <w:ind w:left="0" w:right="0" w:firstLine="576"/>
        <w:jc w:val="left"/>
      </w:pPr>
      <w:r>
        <w:rPr>
          <w:u w:val="single"/>
        </w:rPr>
        <w:t xml:space="preserve">EFFECT:</w:t>
      </w:r>
      <w:r>
        <w:rPr/>
        <w:t xml:space="preserve"> (1) Makes technical corrections.</w:t>
      </w:r>
    </w:p>
    <w:p>
      <w:pPr>
        <w:spacing w:before="0" w:after="0" w:line="408" w:lineRule="exact"/>
        <w:ind w:left="0" w:right="0" w:firstLine="576"/>
        <w:jc w:val="left"/>
      </w:pPr>
      <w:r>
        <w:rPr/>
        <w:t xml:space="preserve">(2) Provides that cities may allow accessory dwelling units to achieve the unit density required.</w:t>
      </w:r>
    </w:p>
    <w:p>
      <w:pPr>
        <w:spacing w:before="0" w:after="0" w:line="408" w:lineRule="exact"/>
        <w:ind w:left="0" w:right="0" w:firstLine="576"/>
        <w:jc w:val="left"/>
      </w:pPr>
      <w:r>
        <w:rPr/>
        <w:t xml:space="preserve">(3) Clarifies that cities may only apply administrative design review for middle housing.</w:t>
      </w:r>
    </w:p>
    <w:p>
      <w:pPr>
        <w:spacing w:before="0" w:after="0" w:line="408" w:lineRule="exact"/>
        <w:ind w:left="0" w:right="0" w:firstLine="576"/>
        <w:jc w:val="left"/>
      </w:pPr>
      <w:r>
        <w:rPr/>
        <w:t xml:space="preserve">(4) Clarifies that cities considered in compliance with requirements to make adequate provisions for existing and projected needs of all economic segments of the community and identify and implement policies and regulations to address and begin to undo racially disparate impacts, displacement, and exclusion in housing caused by local policies, plans, and actions until June 30, 2032, by meeting the density requirements have until the first periodic comprehensive plan update required on or after June 30, 2034, to comply with those requirements.</w:t>
      </w:r>
    </w:p>
    <w:p>
      <w:pPr>
        <w:spacing w:before="0" w:after="0" w:line="408" w:lineRule="exact"/>
        <w:ind w:left="0" w:right="0" w:firstLine="576"/>
        <w:jc w:val="left"/>
      </w:pPr>
      <w:r>
        <w:rPr/>
        <w:t xml:space="preserve">(5) Removes community amenity from the list of requirements for the alternative density requirement and review of substantially similar plans and regulations conducted by department of commerce (commerce).</w:t>
      </w:r>
    </w:p>
    <w:p>
      <w:pPr>
        <w:spacing w:before="0" w:after="0" w:line="408" w:lineRule="exact"/>
        <w:ind w:left="0" w:right="0" w:firstLine="576"/>
        <w:jc w:val="left"/>
      </w:pPr>
      <w:r>
        <w:rPr/>
        <w:t xml:space="preserve">(6) Removes areas within one-half mile walking distance of a building, shopping center or business area containing 100,000 square feet of retail space from the list of areas that must allow the minimum density under the alternative density requirement.</w:t>
      </w:r>
    </w:p>
    <w:p>
      <w:pPr>
        <w:spacing w:before="0" w:after="0" w:line="408" w:lineRule="exact"/>
        <w:ind w:left="0" w:right="0" w:firstLine="576"/>
        <w:jc w:val="left"/>
      </w:pPr>
      <w:r>
        <w:rPr/>
        <w:t xml:space="preserve">(7) Allows cities with a population of less than 75,000 within a contiguous urban growth area with the largest city in a county with a population of more than 275,000, to authorize the development of at least six units per lot within one-quarter, rather than one-half, mile walking distance of a major transit stop.</w:t>
      </w:r>
    </w:p>
    <w:p>
      <w:pPr>
        <w:spacing w:before="0" w:after="0" w:line="408" w:lineRule="exact"/>
        <w:ind w:left="0" w:right="0" w:firstLine="576"/>
        <w:jc w:val="left"/>
      </w:pPr>
      <w:r>
        <w:rPr/>
        <w:t xml:space="preserve">(8) Clarifies that commerce may approve actions by cities that have adopted permanent development regulations that are substantially similar to the requirements.</w:t>
      </w:r>
    </w:p>
    <w:p>
      <w:pPr>
        <w:spacing w:before="0" w:after="0" w:line="408" w:lineRule="exact"/>
        <w:ind w:left="0" w:right="0" w:firstLine="576"/>
        <w:jc w:val="left"/>
      </w:pPr>
      <w:r>
        <w:rPr/>
        <w:t xml:space="preserve">(9) Allows a city to limit the areas subject to the requirements to match the increased housing capacity with the water supply. The city must document and the Department of Ecology must certify the water supply capacity and the water demand reduced by the areas not subject to the requirements.</w:t>
      </w:r>
    </w:p>
    <w:p>
      <w:pPr>
        <w:spacing w:before="0" w:after="0" w:line="408" w:lineRule="exact"/>
        <w:ind w:left="0" w:right="0" w:firstLine="576"/>
        <w:jc w:val="left"/>
      </w:pPr>
      <w:r>
        <w:rPr/>
        <w:t xml:space="preserve">(10) Requires the department of commerce evaluation of the extension of the implementation timelines to be based on the applicable water system plans in effect and approved by the department of health if an extension of the implementation timelines is requested due to lack of water supply from the city or the purveyors who serve water within the city.</w:t>
      </w:r>
    </w:p>
    <w:p>
      <w:pPr>
        <w:spacing w:before="0" w:after="0" w:line="408" w:lineRule="exact"/>
        <w:ind w:left="0" w:right="0" w:firstLine="576"/>
        <w:jc w:val="left"/>
      </w:pPr>
      <w:r>
        <w:rPr/>
        <w:t xml:space="preserve">(11) Clarifies that commerce rule-making authority applies to the provisions relating to the density and missing middle provisions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95d446015d4633" /></Relationships>
</file>