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78a491fba475d"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ENGR</w:t>
        </w:r>
      </w:r>
      <w:r>
        <w:rPr>
          <w:b/>
        </w:rPr>
        <w:t xml:space="preserve"> </w:t>
        <w:r>
          <w:rPr/>
          <w:t xml:space="preserve">S2967.E</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 urban and community forests within the urban growth area</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u w:val="single"/>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w:t>
      </w:r>
      <w:r>
        <w:t>((</w:t>
      </w:r>
      <w:r>
        <w:rPr>
          <w:strike/>
        </w:rPr>
        <w:t xml:space="preserve">,</w:t>
      </w:r>
      <w:r>
        <w:t>))</w:t>
      </w:r>
      <w:r>
        <w:rPr/>
        <w:t xml:space="preserve"> including, but not limited to,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 within the urban growth area;</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(b), or (c)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(5)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(6)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 Jurisdictions whose periodic updates are required by RCW 36.70A.130(5)(b) may utilize the intermediate set of guidelines published by the department of commerce to meet the requirements of RCW 36.70A.070(9).</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0" w:after="0" w:line="408" w:lineRule="exact"/>
        <w:ind w:left="0" w:right="0" w:firstLine="576"/>
        <w:jc w:val="left"/>
      </w:pPr>
      <w:r>
        <w:rPr/>
        <w:t xml:space="preserve">(9) For purposes of this section, "overburdened communities" and "vulnerable populations" means the same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"Wildland urban interface" means the geographical area where structures and other human development meets or intermingles with wildland vegetative fuels.</w:t>
      </w:r>
    </w:p>
    <w:p>
      <w:pPr>
        <w:spacing w:before="0" w:after="0" w:line="408" w:lineRule="exact"/>
        <w:ind w:left="0" w:right="0" w:firstLine="576"/>
        <w:jc w:val="left"/>
      </w:pPr>
      <w:r>
        <w:rPr>
          <w:u w:val="single"/>
        </w:rPr>
        <w:t xml:space="preserve">(40)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(41)(a)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17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1181</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04/07/2023</w:t>
      </w:r>
    </w:p>
    <w:p>
      <w:pPr>
        <w:spacing w:before="0" w:after="0" w:line="408" w:lineRule="exact"/>
        <w:ind w:left="0" w:right="0" w:firstLine="576"/>
        <w:jc w:val="left"/>
      </w:pPr>
      <w:r>
        <w:rPr/>
        <w:t xml:space="preserve">On page 1, line 2 of the title, after "framework;" strike the remainder of the title and insert "amending RCW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23de382d9e4202" /></Relationships>
</file>