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ddfa4c8124897"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FORT</w:t>
        </w:r>
      </w:r>
      <w:r>
        <w:rPr>
          <w:b/>
        </w:rPr>
        <w:t xml:space="preserve"> </w:t>
        <w:r>
          <w:rPr/>
          <w:t xml:space="preserve">S3045.3</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383</w:t>
      </w:r>
    </w:p>
    <w:p>
      <w:pPr>
        <w:spacing w:before="0" w:after="0" w:line="408" w:lineRule="exact"/>
        <w:ind w:left="0" w:right="0" w:firstLine="576"/>
        <w:jc w:val="left"/>
      </w:pPr>
      <w:r>
        <w:rPr/>
        <w:t xml:space="preserve">By Senator Fortunato</w:t>
      </w:r>
    </w:p>
    <w:p>
      <w:pPr>
        <w:jc w:val="right"/>
      </w:pPr>
      <w:r>
        <w:rPr>
          <w:b/>
        </w:rPr>
        <w:t xml:space="preserve">OUT OF ORDER 04/08/2023</w:t>
      </w:r>
    </w:p>
    <w:p>
      <w:pPr>
        <w:spacing w:before="0" w:after="0" w:line="408" w:lineRule="exact"/>
        <w:ind w:left="0" w:right="0" w:firstLine="576"/>
        <w:jc w:val="left"/>
      </w:pPr>
      <w:r>
        <w:rPr/>
        <w:t xml:space="preserve">Beginning on page 1, line 3, after "legislature" strike all material through "immediately." on page 15, line 4 and insert "finds that, according to the 2018 mass shootings work group, funding school resource officers, multistage threat assessment processes implemented in education facilities, and increased investment in mental health professionals were the most important policy recommendations that would prevent future mass shootings. Instead of exerting control over the future purchase of a certain type of firearm, the legislature intends to address the safety of the most treasured members of our society by providing school safety officers. An examination of that evidence finds that both the federal assault weapons ban and several state assault weapons bans have had inconclusive effects on reducing violence. Many of the studies that do indicate a positive link do not take into consideration gang violence and manipulate the data to prove a reduction in violence. A desire to protect society and prevent future violence has led to a desire to ban firearms, their components, and accessories. The legislature finds that providing financial support for the hardening of schools will provide more safety for the most treasured members of society than an arbitrary firearms ban.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The legislature hereby directs the criminal justice training commission to conduct a study on the effects, including lethality, velocity, safety for the user, and likelihood of serious injury of the following firearm accessories: (1) A grip that is independent or detached from the stock that protrudes conspicuously beneath the action of the weapon; (2) thumbhole stock; (3) folding or telescoping stock; (4) forward pistol, vertical, angled, or other grip designed for use by the nonfiring hand to improve control; (5) flash suppressor, flash guard, flash eliminator, flash hider, sound suppressor, silencer, or any item designed to reduce the visual or audio signature of the firearm; (6) muzzle brake, recoil compensator, or any item designed to be affixed to the barrel to reduce recoil or muzzle rise; (7) threaded barrel designed to attach a flash suppressor, sound 21 suppressor, muzzle break, or similar item; (8) grenade launcher or flare launcher; (9) a shroud that encircles either all or part of the barrel designed to shield the bearer's hand from heat, except a solid forearm of a stock that covers only the bottom of the barrel; and (10) the capacity to accept a detachable magazine at some location outside of the pistol grip.</w:t>
      </w:r>
    </w:p>
    <w:p>
      <w:pPr>
        <w:spacing w:before="0" w:after="0" w:line="408" w:lineRule="exact"/>
        <w:ind w:left="0" w:right="0" w:firstLine="576"/>
        <w:jc w:val="left"/>
      </w:pPr>
      <w:r>
        <w:rPr/>
        <w:t xml:space="preserve">The commission shall also study the length of time required to change a magazine by shooters from different demographics and with different skill levels; for example, gender, levels of experience, and law enforcement at varying levels of experience. The commission shall publish a report of the findings, including a list of military units that use AR-15 firearms in combat,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a grant program for the security of K-12 public and private schools. The office shall adopt rules for qualifying applicants to include local law enforcement and participating schools. The rules must also provide the scope of security to be provided for participating schools, including but not limited to:</w:t>
      </w:r>
    </w:p>
    <w:p>
      <w:pPr>
        <w:spacing w:before="0" w:after="0" w:line="408" w:lineRule="exact"/>
        <w:ind w:left="0" w:right="0" w:firstLine="576"/>
        <w:jc w:val="left"/>
      </w:pPr>
      <w:r>
        <w:rPr/>
        <w:t xml:space="preserve">(1) The minimum number of school resource officers to be assigned to each participating school, which must be based on considerations such as student population, building access points, and school facility layout in order to provide a response time of one minute or less for a school resource officer to respond to a physical threat; and</w:t>
      </w:r>
    </w:p>
    <w:p>
      <w:pPr>
        <w:spacing w:before="0" w:after="0" w:line="408" w:lineRule="exact"/>
        <w:ind w:left="0" w:right="0" w:firstLine="576"/>
        <w:jc w:val="left"/>
      </w:pPr>
      <w:r>
        <w:rPr/>
        <w:t xml:space="preserve">(2) Allowing school districts to acquire structural upgrades for school facilities in order to provide enhanced security and safety including, but not limited to, design upgrades, automatic locking doors, and ballistic films on glass entries.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criminal justice training commission shall conduct a study on mental health evaluations of people in crisis and mass shootings. The study shall focus on identifying warning signs and proactive solutions for the assessment, treatment, and reduction of violence by persons with a mental health crisis. The commission shall publish the study and distribute the study to first responders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$50,000,000, or as much thereof as may be necessary, is appropriated for the fiscal year ending June 30, 2024, from the general fund to the office of the superintendent of public instruction to develop a grant program with local law enforcement to develop an onsite security presence of school resource officers at public and private schools to respond to any physical threat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$50,000,000, or as much thereof as may be necessary, is appropriated for the fiscal year ending June 30, 2024, from the general fund to the office of the superintendent of public instruction to allow school districts to acquire structural upgrades for school facilities in order to provide enhanced security and safety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or as much thereof as may be necessary, is appropriated for the fiscal year ending June 30, 2024, from the general fund to the criminal justice training commission for the study of certain defined rifle accessories pursuant to section 2 of this act, and to study mental health evaluations of people in crisis pursuant to section 4 of this act."</w:t>
      </w:r>
    </w:p>
    <w:p>
      <w:pPr>
        <w:spacing w:before="0" w:after="0" w:line="408" w:lineRule="exact"/>
        <w:ind w:left="0" w:right="0" w:firstLine="576"/>
        <w:jc w:val="left"/>
      </w:pPr>
      <w:r>
        <w:rPr/>
        <w:t xml:space="preserve">On page 15, beginning on line 6, after "insert" strike all material through "emergency" on line 8 and insert "creating new sections; and making appropriations"</w:t>
      </w:r>
    </w:p>
    <w:p>
      <w:pPr>
        <w:spacing w:before="0" w:after="0" w:line="408" w:lineRule="exact"/>
        <w:ind w:left="0" w:right="0" w:firstLine="576"/>
        <w:jc w:val="left"/>
      </w:pPr>
      <w:r>
        <w:rPr>
          <w:u w:val="single"/>
        </w:rPr>
        <w:t xml:space="preserve">EFFECT:</w:t>
      </w:r>
      <w:r>
        <w:rPr/>
        <w:t xml:space="preserve"> (1) Directs the CJTC to study the effects of various firearm accessories, including time for reloading, and use of AR-15s by the military.</w:t>
      </w:r>
    </w:p>
    <w:p>
      <w:pPr>
        <w:spacing w:before="0" w:after="0" w:line="408" w:lineRule="exact"/>
        <w:ind w:left="0" w:right="0" w:firstLine="576"/>
        <w:jc w:val="left"/>
      </w:pPr>
      <w:r>
        <w:rPr/>
        <w:t xml:space="preserve">(2) Directs the OSPI to develop a grant program for the security of K-12 public and private schools.</w:t>
      </w:r>
    </w:p>
    <w:p>
      <w:pPr>
        <w:spacing w:before="0" w:after="0" w:line="408" w:lineRule="exact"/>
        <w:ind w:left="0" w:right="0" w:firstLine="576"/>
        <w:jc w:val="left"/>
      </w:pPr>
      <w:r>
        <w:rPr/>
        <w:t xml:space="preserve">(3) Directs the CJTC to conduct a study on mental health evaluations of people in crisis and mass shootings.</w:t>
      </w:r>
    </w:p>
    <w:p>
      <w:pPr>
        <w:spacing w:before="0" w:after="0" w:line="408" w:lineRule="exact"/>
        <w:ind w:left="0" w:right="0" w:firstLine="576"/>
        <w:jc w:val="left"/>
      </w:pPr>
      <w:r>
        <w:rPr/>
        <w:t xml:space="preserve">(4) Appropriates funding for each study and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fbbe321b6a4965" /></Relationships>
</file>