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cae7bbe04c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1, after "</w:t>
      </w:r>
      <w:r>
        <w:rPr>
          <w:b/>
        </w:rPr>
        <w:t xml:space="preserve">Sec. 6.</w:t>
      </w:r>
      <w:r>
        <w:rPr/>
        <w:t xml:space="preserve">" strike "This" and insert "Except for section 3 of this act which takes effect the later of October 31, 2023, or 180 days after the effective date of this act, this"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8, after "penalties;" insert "providing an effective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180 days for the sale of inventory.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9be3f6d1a4524" /></Relationships>
</file>