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ac7c8a1ba4e34"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PADD</w:t>
        </w:r>
      </w:r>
      <w:r>
        <w:rPr>
          <w:b/>
        </w:rPr>
        <w:t xml:space="preserve"> </w:t>
        <w:r>
          <w:rPr/>
          <w:t xml:space="preserve">S2797.1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374</w:t>
      </w:r>
    </w:p>
    <w:p>
      <w:pPr>
        <w:spacing w:before="0" w:after="0" w:line="408" w:lineRule="exact"/>
        <w:ind w:left="0" w:right="0" w:firstLine="576"/>
        <w:jc w:val="left"/>
      </w:pPr>
      <w:r>
        <w:rPr/>
        <w:t xml:space="preserve">By Senator Padden</w:t>
      </w:r>
    </w:p>
    <w:p>
      <w:pPr>
        <w:jc w:val="right"/>
      </w:pPr>
      <w:r>
        <w:rPr>
          <w:b/>
        </w:rPr>
        <w:t xml:space="preserve">NOT ADOPTED 04/08/2023</w:t>
      </w:r>
    </w:p>
    <w:p>
      <w:pPr>
        <w:spacing w:before="0" w:after="0" w:line="408" w:lineRule="exact"/>
        <w:ind w:left="0" w:right="0" w:firstLine="576"/>
        <w:jc w:val="left"/>
      </w:pPr>
      <w:r>
        <w:rPr/>
        <w:t xml:space="preserve">On page 15, beginning on line 1,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This act takes effect on the date that the federal court of appeals for the ninth circuit issues an opinion that interprets and applies the "historical tradition of firearm regulation" test, established by the United States supreme court in</w:t>
      </w:r>
      <w:r>
        <w:rPr>
          <w:i/>
        </w:rPr>
        <w:t xml:space="preserve"> N.Y. State Rifle &amp; Pistol Ass'n v. Bruen</w:t>
      </w:r>
      <w:r>
        <w:rPr/>
        <w:t xml:space="preserve">, 142 S. Ct. 2111 (2022), to a firearm law or regulation.</w:t>
      </w:r>
    </w:p>
    <w:p>
      <w:pPr>
        <w:spacing w:before="0" w:after="0" w:line="408" w:lineRule="exact"/>
        <w:ind w:left="0" w:right="0" w:firstLine="576"/>
        <w:jc w:val="left"/>
      </w:pPr>
      <w:r>
        <w:rPr/>
        <w:t xml:space="preserve">(2) The attorney general's office shall provide written notice of the effective date of this act to affected parties, the chief clerk of the house of representatives, the secretary of the senate, the office of the code reviser, and others as deemed appropriate by the attorney general's office."</w:t>
      </w:r>
    </w:p>
    <w:p>
      <w:pPr>
        <w:spacing w:before="0" w:after="0" w:line="408" w:lineRule="exact"/>
        <w:ind w:left="0" w:right="0" w:firstLine="576"/>
        <w:jc w:val="left"/>
      </w:pPr>
      <w:r>
        <w:rPr/>
        <w:t xml:space="preserve">On page 15, line 8, after "and" strike "declaring an emergency" and insert "providing a contingent effective date"</w:t>
      </w:r>
    </w:p>
    <w:p>
      <w:pPr>
        <w:spacing w:before="0" w:after="0" w:line="408" w:lineRule="exact"/>
        <w:ind w:left="0" w:right="0" w:firstLine="576"/>
        <w:jc w:val="left"/>
      </w:pPr>
      <w:r>
        <w:rPr>
          <w:u w:val="single"/>
        </w:rPr>
        <w:t xml:space="preserve">EFFECT:</w:t>
      </w:r>
      <w:r>
        <w:rPr/>
        <w:t xml:space="preserve"> Removes the emergency clause from the bill, preventing it from taking immediate effect upon enactment. Adds subsections that: (1) Provide the bill takes effect when the Ninth Circuit Court of Appeals interprets and applies the "historical tradition of firearm regulation" test to a firearm law or regulation; and (2) require the Attorney General's Office to provide written notice of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46f88b446451c" /></Relationships>
</file>