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2d88758a14b82" /></Relationships>
</file>

<file path=word/document.xml><?xml version="1.0" encoding="utf-8"?>
<w:document xmlns:w="http://schemas.openxmlformats.org/wordprocessingml/2006/main">
  <w:body>
    <w:p>
      <w:r>
        <w:rPr>
          <w:b/>
        </w:rPr>
        <w:r>
          <w:rPr/>
          <w:t xml:space="preserve">1308</w:t>
        </w:r>
      </w:r>
      <w:r>
        <w:rPr>
          <w:b/>
        </w:rPr>
        <w:t xml:space="preserve"> </w:t>
        <w:t xml:space="preserve">AMS</w:t>
      </w:r>
      <w:r>
        <w:rPr>
          <w:b/>
        </w:rPr>
        <w:t xml:space="preserve"> </w:t>
        <w:r>
          <w:rPr/>
          <w:t xml:space="preserve">EDU</w:t>
        </w:r>
      </w:r>
      <w:r>
        <w:rPr>
          <w:b/>
        </w:rPr>
        <w:t xml:space="preserve"> </w:t>
        <w:r>
          <w:rPr/>
          <w:t xml:space="preserve">S2452.1</w:t>
        </w:r>
      </w:r>
      <w:r>
        <w:rPr>
          <w:b/>
        </w:rPr>
        <w:t xml:space="preserve"> - NOT FOR FLOOR USE</w:t>
      </w:r>
    </w:p>
    <w:p>
      <w:pPr>
        <w:ind w:left="0" w:right="0" w:firstLine="576"/>
      </w:pPr>
      <w:r>
        <w:rPr/>
        <w:t xml:space="preserve"> </w:t>
      </w:r>
    </w:p>
    <w:p>
      <w:pPr>
        <w:spacing w:before="480" w:after="0" w:line="408" w:lineRule="exact"/>
      </w:pPr>
      <w:r>
        <w:rPr>
          <w:b/>
          <w:u w:val="single"/>
        </w:rPr>
        <w:t xml:space="preserve">HB 1308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2019 the legislature created a system of multiple graduation pathway options, which took effect beginning with the class of 2020. The legislature intended for the graduation pathways to be student-focused, adaptable, rigorous, and meaningful ways for students to demonstrate appropriate readiness in support of their individualized career and college goals.</w:t>
      </w:r>
    </w:p>
    <w:p>
      <w:pPr>
        <w:spacing w:before="0" w:after="0" w:line="408" w:lineRule="exact"/>
        <w:ind w:left="0" w:right="0" w:firstLine="576"/>
        <w:jc w:val="left"/>
      </w:pPr>
      <w:r>
        <w:rPr/>
        <w:t xml:space="preserve">(2) The legislature anticipated that school districts might face barriers to implementing the pathways and students might face barriers to accessing the pathway options. The legislature charged the state board of education with research on the first three years of implementation to identify barriers and provide recommendations for changes to the existing pathways and additional pathway options.</w:t>
      </w:r>
    </w:p>
    <w:p>
      <w:pPr>
        <w:spacing w:before="0" w:after="0" w:line="408" w:lineRule="exact"/>
        <w:ind w:left="0" w:right="0" w:firstLine="576"/>
        <w:jc w:val="left"/>
      </w:pPr>
      <w:r>
        <w:rPr/>
        <w:t xml:space="preserve">(3) While implementation of the graduation pathway options was significantly disrupted by the COVID-19 pandemic, the research on early implementation identified access and equity barriers that would exist even without the pandemic. The research shows that the initial set of graduation pathway options do not meet the needs of all students. The research found some students completing pathways that do not align with their individual goals for after high school, in which case the pathway is not serving its intended purpose. Overall, students, families, and educators report a need for additional relevant and authentic options.</w:t>
      </w:r>
    </w:p>
    <w:p>
      <w:pPr>
        <w:spacing w:before="0" w:after="0" w:line="408" w:lineRule="exact"/>
        <w:ind w:left="0" w:right="0" w:firstLine="576"/>
        <w:jc w:val="left"/>
      </w:pPr>
      <w:r>
        <w:rPr/>
        <w:t xml:space="preserve">(4) The legislature recognizes that students can demonstrate readiness in multiple ways and recognizes the need to expand graduation pathways in order to provide options that are student-focused, individualized, relevant, and that support all student needs. Research shows that performance-based assessments are valid ways of measuring students' readiness for success in college and careers. Further, research shows that performance-based assessments are associated with increased student engagement, skill development, critical thinking, and postsecondary success. The legislature recognizes that a performance-based graduation pathway option supports the state's transition to mastery-based learning.</w:t>
      </w:r>
    </w:p>
    <w:p>
      <w:pPr>
        <w:spacing w:before="0" w:after="0" w:line="408" w:lineRule="exact"/>
        <w:ind w:left="0" w:right="0" w:firstLine="576"/>
        <w:jc w:val="left"/>
      </w:pPr>
      <w:r>
        <w:rPr/>
        <w:t xml:space="preserve">(5) Therefore, the legislature intends to create graduation pathway options that allow students to demonstrate their readiness in performance-based ways, in addition to the existing test-based and course-based options. Further, the legislature intends to create ongoing requirements to monitor the graduation pathway options implementation at both the state and local levels to ensure accountability and equitable offerings. In providing a wider variety of graduation pathway options, the state maintains its commitment to high standards for earning a meaningful high school diploma that prepares students for success in postsecondary education, gainful employment, civic engagement, and lifelong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w:t>
      </w:r>
    </w:p>
    <w:p>
      <w:pPr>
        <w:spacing w:before="0" w:after="0" w:line="408" w:lineRule="exact"/>
        <w:ind w:left="0" w:right="0" w:firstLine="576"/>
        <w:jc w:val="left"/>
      </w:pPr>
      <w:r>
        <w:rPr>
          <w:u w:val="singl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u w:val="single"/>
        </w:rPr>
        <w:t xml:space="preserve">(2)</w:t>
      </w:r>
      <w:r>
        <w:rPr/>
        <w:t xml:space="preserve"> The pathway options established in this section are intended to provide a student with multiple </w:t>
      </w:r>
      <w:r>
        <w:t>((</w:t>
      </w:r>
      <w:r>
        <w:rPr>
          <w:strike/>
        </w:rPr>
        <w:t xml:space="preserve">pathways to graduating with a meaningful high school diploma that are tailored to the goals of the student</w:t>
      </w:r>
      <w:r>
        <w:t>))</w:t>
      </w:r>
      <w:r>
        <w:rPr/>
        <w:t xml:space="preserve"> </w:t>
      </w:r>
      <w:r>
        <w:rPr>
          <w:u w:val="single"/>
        </w:rPr>
        <w:t xml:space="preserve">ways, including test-based, course-based, and performance-based options, to demonstrate readiness in furtherance of the student's individual goals for high school and beyond. For the purposes of this section, "demonstrate readiness" means the student meets or exceeds state learning standards addressed in the pathway option</w:t>
      </w:r>
      <w:r>
        <w:rPr/>
        <w:t xml:space="preserve">. A student may choose to pursue one or more of the pathway options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 but any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following graduation pathway options may be used to demonstrate career and college readiness in accordance with </w:t>
      </w:r>
      <w:r>
        <w:t>((</w:t>
      </w:r>
      <w:r>
        <w:rPr>
          <w:strike/>
        </w:rPr>
        <w:t xml:space="preserve">(a)(iv)</w:t>
      </w:r>
      <w:r>
        <w:t>))</w:t>
      </w:r>
      <w:r>
        <w:rPr/>
        <w:t xml:space="preserve"> </w:t>
      </w:r>
      <w:r>
        <w:rPr>
          <w:u w:val="single"/>
        </w:rPr>
        <w:t xml:space="preserve">subsection (1)(a)(iv)</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Earn high school credit in a high school transition course in English language arts and mathematics, an example of which includes a bridge to college course. For the purposes of this subsection </w:t>
      </w:r>
      <w:r>
        <w:t>((</w:t>
      </w:r>
      <w:r>
        <w:rPr>
          <w:strike/>
        </w:rPr>
        <w:t xml:space="preserve">(1)(b)(iii)</w:t>
      </w:r>
      <w:r>
        <w:t>))</w:t>
      </w:r>
      <w:r>
        <w:rPr/>
        <w:t xml:space="preserve"> </w:t>
      </w:r>
      <w:r>
        <w:rPr>
          <w:u w:val="single"/>
        </w:rPr>
        <w:t xml:space="preserve">(3)(c)</w:t>
      </w:r>
      <w:r>
        <w:rPr/>
        <w:t xml:space="preserve">,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Earn high school credit, with a C+ grade</w:t>
      </w:r>
      <w:r>
        <w:t>((</w:t>
      </w:r>
      <w:r>
        <w:rPr>
          <w:strike/>
        </w:rPr>
        <w:t xml:space="preserve">, or receiving a three or higher on the AP exam, or equivalent,</w:t>
      </w:r>
      <w:r>
        <w:t>))</w:t>
      </w:r>
      <w:r>
        <w:rPr/>
        <w:t xml:space="preserve"> </w:t>
      </w:r>
      <w:r>
        <w:rPr>
          <w:u w:val="single"/>
        </w:rPr>
        <w:t xml:space="preserve">or higher</w:t>
      </w:r>
      <w:r>
        <w:rPr/>
        <w:t xml:space="preserve"> in AP, international baccalaureate, or Cambridge international courses in English language arts and mathematics; or </w:t>
      </w:r>
      <w:r>
        <w:t>((</w:t>
      </w:r>
      <w:r>
        <w:rPr>
          <w:strike/>
        </w:rPr>
        <w:t xml:space="preserve">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r>
        <w:t>))</w:t>
      </w:r>
      <w:r>
        <w:rPr/>
        <w:t xml:space="preserve"> </w:t>
      </w:r>
      <w:r>
        <w:rPr>
          <w:u w:val="single"/>
        </w:rPr>
        <w:t xml:space="preserve">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r>
        <w:rPr/>
        <w:t xml:space="preserv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u w:val="single"/>
        </w:rPr>
        <w:t xml:space="preserve">(i) Complete a performance-based learning experience through which the student demonstrates knowledge and skills in a real-world context, providing evidence that the student meets or exceeds state learning standards in English language arts and mathematics.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u w:val="single"/>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demonstrated the applicable learning standards. The rules adopted by the state board of education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u w:val="single"/>
        </w:rPr>
        <w:t xml:space="preserve">(iii) To support implementation of the performance-based learning experience graduation pathway option, the state board of education shall establish graduation proficiency targets and associated rubrics aligned with state learning standards in English language arts and mathematics.</w:t>
      </w:r>
    </w:p>
    <w:p>
      <w:pPr>
        <w:spacing w:before="0" w:after="0" w:line="408" w:lineRule="exact"/>
        <w:ind w:left="0" w:right="0" w:firstLine="576"/>
        <w:jc w:val="left"/>
      </w:pPr>
      <w:r>
        <w:rPr>
          <w:u w:val="single"/>
        </w:rPr>
        <w:t xml:space="preserve">(iv) Prior to offering the performance-based learning experience graduation pathway option in this subsection (3)(f) to students, the school district board of directors shall adopt a written policy in conformity with applicable state requirements</w:t>
      </w:r>
      <w:r>
        <w:rPr>
          <w:u w:val="single"/>
        </w:rPr>
        <w:t xml:space="preserve">;</w:t>
      </w:r>
    </w:p>
    <w:p>
      <w:pPr>
        <w:spacing w:before="0" w:after="0" w:line="408" w:lineRule="exact"/>
        <w:ind w:left="0" w:right="0" w:firstLine="576"/>
        <w:jc w:val="left"/>
      </w:pPr>
      <w:r>
        <w:rPr>
          <w:u w:val="single"/>
        </w:rPr>
        <w:t xml:space="preserve">(g)</w:t>
      </w:r>
      <w:r>
        <w:rPr/>
        <w:t xml:space="preserve"> Meet any combination of at least one English language arts option and at least one mathematics option established in </w:t>
      </w:r>
      <w:r>
        <w:t>((</w:t>
      </w:r>
      <w:r>
        <w:rPr>
          <w:strike/>
        </w:rPr>
        <w:t xml:space="preserve">(b)(i) through (v)</w:t>
      </w:r>
      <w:r>
        <w:t>))</w:t>
      </w:r>
      <w:r>
        <w:rPr/>
        <w:t xml:space="preserve"> </w:t>
      </w:r>
      <w:r>
        <w:rPr>
          <w:u w:val="single"/>
        </w:rPr>
        <w:t xml:space="preserve">(a) through (f)</w:t>
      </w:r>
      <w:r>
        <w:rPr/>
        <w:t xml:space="preserve"> of this subsection </w:t>
      </w:r>
      <w:r>
        <w:t>((</w:t>
      </w:r>
      <w:r>
        <w:rPr>
          <w:strike/>
        </w:rPr>
        <w:t xml:space="preserve">(1)</w:t>
      </w:r>
      <w:r>
        <w: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(h)</w:t>
      </w:r>
      <w:r>
        <w:rPr/>
        <w:t xml:space="preserve"> Meet standard in the armed services vocational aptitude battery; and</w:t>
      </w:r>
    </w:p>
    <w:p>
      <w:pPr>
        <w:spacing w:before="0" w:after="0" w:line="408" w:lineRule="exact"/>
        <w:ind w:left="0" w:right="0" w:firstLine="576"/>
        <w:jc w:val="left"/>
      </w:pPr>
      <w:r>
        <w:t>((</w:t>
      </w:r>
      <w:r>
        <w:rPr>
          <w:strike/>
        </w:rPr>
        <w:t xml:space="preserve">(viii)</w:t>
      </w:r>
      <w:r>
        <w:t>))</w:t>
      </w:r>
      <w:r>
        <w:rPr/>
        <w:t xml:space="preserve"> </w:t>
      </w:r>
      <w:r>
        <w:rPr>
          <w:u w:val="single"/>
        </w:rPr>
        <w:t xml:space="preserve">(i)</w:t>
      </w:r>
      <w:r>
        <w:rPr/>
        <w:t xml:space="preserve">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(1)(b)(viii)</w:t>
      </w:r>
      <w:r>
        <w:t>))</w:t>
      </w:r>
      <w:r>
        <w:rPr/>
        <w:t xml:space="preserve"> </w:t>
      </w:r>
      <w:r>
        <w:rPr>
          <w:u w:val="single"/>
        </w:rPr>
        <w:t xml:space="preserve">(3)(i)</w:t>
      </w:r>
      <w:r>
        <w:rPr/>
        <w:t xml:space="preserve">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t>((</w:t>
      </w:r>
      <w:r>
        <w:rPr>
          <w:strike/>
        </w:rPr>
        <w:t xml:space="preserve">(3)</w:t>
      </w:r>
      <w:r>
        <w:t>))</w:t>
      </w:r>
      <w:r>
        <w:rPr/>
        <w:t xml:space="preserve"> </w:t>
      </w:r>
      <w:r>
        <w:rPr>
          <w:u w:val="single"/>
        </w:rPr>
        <w:t xml:space="preserve">School districts, however, must annually provide students in grades eight through 12 and their parents or legal guardians with comprehensive information about the graduation pathway options offered by the school district and are strongly encouraged to begin providing this information beginning in sixth grade.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u w:val="single"/>
        </w:rPr>
        <w:t xml:space="preserve">(5)</w:t>
      </w:r>
      <w:r>
        <w:rPr/>
        <w:t xml:space="preserve">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2021 c 144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w:t>
      </w:r>
      <w:r>
        <w:t>((</w:t>
      </w:r>
      <w:r>
        <w:rPr>
          <w:strike/>
        </w:rPr>
        <w:t xml:space="preserve">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reports to the education committees of the legislature by August 1, 2020, and December 10, 2022, summarizing the information collected in the surveys.</w:t>
      </w:r>
    </w:p>
    <w:p>
      <w:pPr>
        <w:spacing w:before="0" w:after="0" w:line="408" w:lineRule="exact"/>
        <w:ind w:left="0" w:right="0" w:firstLine="576"/>
        <w:jc w:val="left"/>
      </w:pPr>
      <w:r>
        <w:rPr>
          <w:strike/>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strike/>
        </w:rPr>
        <w:t xml:space="preserve">(a) Recommendations on whether changes to the existing pathways should be made and what those changes should be;</w:t>
      </w:r>
    </w:p>
    <w:p>
      <w:pPr>
        <w:spacing w:before="0" w:after="0" w:line="408" w:lineRule="exact"/>
        <w:ind w:left="0" w:right="0" w:firstLine="576"/>
        <w:jc w:val="left"/>
      </w:pPr>
      <w:r>
        <w:rPr>
          <w:strike/>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strike/>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strike/>
        </w:rPr>
        <w:t xml:space="preserve">(d) Whether additional graduation pathways should be included and recommendations for what those pathways should be</w:t>
      </w:r>
      <w:r>
        <w:t>))</w:t>
      </w:r>
      <w:r>
        <w:rPr/>
        <w:t xml:space="preserve"> </w:t>
      </w:r>
      <w:r>
        <w:rPr>
          <w:u w:val="single"/>
        </w:rPr>
        <w:t xml:space="preserve">The state board of education shall review and monitor the implementation of the graduation pathway options to ensure school district compliance with requirements established under RCW 28A.655.250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u w:val="single"/>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u w:val="single"/>
        </w:rPr>
        <w:t xml:space="preserve">(i) Gender;</w:t>
      </w:r>
    </w:p>
    <w:p>
      <w:pPr>
        <w:spacing w:before="0" w:after="0" w:line="408" w:lineRule="exact"/>
        <w:ind w:left="0" w:right="0" w:firstLine="576"/>
        <w:jc w:val="left"/>
      </w:pPr>
      <w:r>
        <w:rPr>
          <w:u w:val="single"/>
        </w:rPr>
        <w:t xml:space="preserve">(ii) Students who are the subject of a dependency proceeding pursuant to chapter 13.34 RCW;</w:t>
      </w:r>
    </w:p>
    <w:p>
      <w:pPr>
        <w:spacing w:before="0" w:after="0" w:line="408" w:lineRule="exact"/>
        <w:ind w:left="0" w:right="0" w:firstLine="576"/>
        <w:jc w:val="left"/>
      </w:pPr>
      <w:r>
        <w:rPr>
          <w:u w:val="single"/>
        </w:rPr>
        <w:t xml:space="preserve">(iii) Students who are experiencing homelessness as defined in RCW 28A.300.542(4); and</w:t>
      </w:r>
    </w:p>
    <w:p>
      <w:pPr>
        <w:spacing w:before="0" w:after="0" w:line="408" w:lineRule="exact"/>
        <w:ind w:left="0" w:right="0" w:firstLine="576"/>
        <w:jc w:val="left"/>
      </w:pPr>
      <w:r>
        <w:rPr>
          <w:u w:val="single"/>
        </w:rPr>
        <w:t xml:space="preserve">(iv) Multilingual/English learners.</w:t>
      </w:r>
    </w:p>
    <w:p>
      <w:pPr>
        <w:spacing w:before="0" w:after="0" w:line="408" w:lineRule="exact"/>
        <w:ind w:left="0" w:right="0" w:firstLine="576"/>
        <w:jc w:val="left"/>
      </w:pPr>
      <w:r>
        <w:rPr>
          <w:u w:val="single"/>
        </w:rPr>
        <w:t xml:space="preserve">(b) If the results of the analysis required under (a) of this subsection show disproportionate participation and completion rates by student groups, then the school district shall identify reasons for the observed disproportionality and implement strategies as appropriate to ensure the graduation pathway options are equitably available to all students in the school district</w:t>
      </w:r>
      <w:r>
        <w:rPr/>
        <w:t xml:space="preserve">."</w:t>
      </w:r>
    </w:p>
    <w:p>
      <w:pPr>
        <w:spacing w:before="480" w:after="0" w:line="408" w:lineRule="exact"/>
      </w:pPr>
      <w:r>
        <w:rPr>
          <w:b/>
          <w:u w:val="single"/>
        </w:rPr>
        <w:t xml:space="preserve">HB 1308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04/05/2023</w:t>
      </w:r>
    </w:p>
    <w:p>
      <w:pPr>
        <w:spacing w:before="0" w:after="0" w:line="408" w:lineRule="exact"/>
        <w:ind w:left="0" w:right="0" w:firstLine="576"/>
        <w:jc w:val="left"/>
      </w:pPr>
      <w:r>
        <w:rPr/>
        <w:t xml:space="preserve">On page 1, line 1 of the title, after "options;" strike the remainder of the title and insert "amending RCW 28A.655.250 and 28A.655.260; and creating a new section."</w:t>
      </w:r>
    </w:p>
    <w:p>
      <w:pPr>
        <w:spacing w:before="0" w:after="0" w:line="408" w:lineRule="exact"/>
        <w:ind w:left="0" w:right="0" w:firstLine="576"/>
        <w:jc w:val="left"/>
      </w:pPr>
      <w:r>
        <w:rPr>
          <w:u w:val="single"/>
        </w:rPr>
        <w:t xml:space="preserve">EFFECT:</w:t>
      </w:r>
      <w:r>
        <w:rPr/>
        <w:t xml:space="preserve"> (1) Revises the definition of "demonstrate readiness" with respect to graduation pathways to mean the student meets or exceeds state learning standards addressed in the chosen pathway.</w:t>
      </w:r>
    </w:p>
    <w:p>
      <w:pPr>
        <w:spacing w:before="0" w:after="0" w:line="408" w:lineRule="exact"/>
        <w:ind w:left="0" w:right="0" w:firstLine="576"/>
        <w:jc w:val="left"/>
      </w:pPr>
      <w:r>
        <w:rPr/>
        <w:t xml:space="preserve">(2) Requires that the performance-based learning experience graduation pathway option provides evidence that the student meets or exceeds state learning standards in English language arts and mathematics, rather than at least two of the mandatory core subject areas.</w:t>
      </w:r>
    </w:p>
    <w:p>
      <w:pPr>
        <w:spacing w:before="0" w:after="0" w:line="408" w:lineRule="exact"/>
        <w:ind w:left="0" w:right="0" w:firstLine="576"/>
        <w:jc w:val="left"/>
      </w:pPr>
      <w:r>
        <w:rPr/>
        <w:t xml:space="preserve">(3) Requires the State Board of Education to establish graduation proficiency targets and associated rubrics aligned with state learning standards in English language arts and mathematics.</w:t>
      </w:r>
    </w:p>
    <w:p>
      <w:pPr>
        <w:spacing w:before="0" w:after="0" w:line="408" w:lineRule="exact"/>
        <w:ind w:left="0" w:right="0" w:firstLine="576"/>
        <w:jc w:val="left"/>
      </w:pPr>
      <w:r>
        <w:rPr/>
        <w:t xml:space="preserve">(4) Moves the subsection detailing the performance-based learning experience graduation pathway option.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c1341a1a2440df" /></Relationships>
</file>