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52c17825f47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S3038.1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1470</w:t>
      </w:r>
      <w:r>
        <w:t xml:space="preserve"> -</w:t>
      </w:r>
      <w:r>
        <w:t xml:space="preserve"> </w:t>
        <w:t xml:space="preserve">S AMD TO HS COMM AMD (S-2405.2/23)</w:t>
      </w:r>
      <w:r>
        <w:t xml:space="preserve"> </w:t>
      </w:r>
      <w:r>
        <w:rPr>
          <w:b/>
        </w:rPr>
        <w:t xml:space="preserve">415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4, strike all of sections 5 through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22, after "sections;" strike "prescribing penalties;"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creating a private right of action, civil penalties, and the Washington State Attorney General Humane Detention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47a97e7d74c31" /></Relationships>
</file>