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d806968934d22" /></Relationships>
</file>

<file path=word/document.xml><?xml version="1.0" encoding="utf-8"?>
<w:document xmlns:w="http://schemas.openxmlformats.org/wordprocessingml/2006/main">
  <w:body>
    <w:p>
      <w:r>
        <w:rPr>
          <w:b/>
        </w:rPr>
        <w:r>
          <w:rPr/>
          <w:t xml:space="preserve">1636.E</w:t>
        </w:r>
      </w:r>
      <w:r>
        <w:rPr>
          <w:b/>
        </w:rPr>
        <w:t xml:space="preserve"> </w:t>
        <w:t xml:space="preserve">AMS</w:t>
      </w:r>
      <w:r>
        <w:rPr>
          <w:b/>
        </w:rPr>
        <w:t xml:space="preserve"> </w:t>
        <w:r>
          <w:rPr/>
          <w:t xml:space="preserve">LAW</w:t>
        </w:r>
      </w:r>
      <w:r>
        <w:rPr>
          <w:b/>
        </w:rPr>
        <w:t xml:space="preserve"> </w:t>
        <w:r>
          <w:rPr/>
          <w:t xml:space="preserve">S2700.1</w:t>
        </w:r>
      </w:r>
      <w:r>
        <w:rPr>
          <w:b/>
        </w:rPr>
        <w:t xml:space="preserve"> - NOT FOR FLOOR USE</w:t>
      </w:r>
    </w:p>
    <w:p>
      <w:pPr>
        <w:ind w:left="0" w:right="0" w:firstLine="576"/>
      </w:pPr>
      <w:r>
        <w:rPr/>
        <w:t xml:space="preserve"> </w:t>
      </w:r>
    </w:p>
    <w:p>
      <w:pPr>
        <w:spacing w:before="480" w:after="0" w:line="408" w:lineRule="exact"/>
      </w:pPr>
      <w:r>
        <w:rPr>
          <w:b/>
          <w:u w:val="single"/>
        </w:rPr>
        <w:t xml:space="preserve">EHB 1636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3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120" w:line="408" w:lineRule="exact"/>
        <w:ind w:left="0" w:right="0" w:firstLine="576"/>
        <w:jc w:val="left"/>
      </w:pPr>
      <w:r>
        <w:rPr>
          <w:strike/>
        </w:rPr>
        <w:t xml:space="preserve">Telephone: . . . . . . . Website: . . . . . .</w:t>
      </w:r>
    </w:p>
    <w:p>
      <w:pPr>
        <w:spacing w:before="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4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6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7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8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2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576"/>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9</w:t>
      </w:r>
      <w:r>
        <w:rPr/>
        <w:t xml:space="preserve"> (uncodified) is amended to read as follows:</w:t>
      </w:r>
    </w:p>
    <w:p>
      <w:pPr>
        <w:spacing w:before="0" w:after="0" w:line="408" w:lineRule="exact"/>
        <w:ind w:left="0" w:right="0" w:firstLine="576"/>
        <w:jc w:val="left"/>
      </w:pPr>
      <w:r>
        <w:rPr/>
        <w:t xml:space="preserve">Sections 1, 3, 5, and 7 of this act expire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10</w:t>
      </w:r>
      <w:r>
        <w:rPr/>
        <w:t xml:space="preserve"> (uncodified) is amended to read as follows:</w:t>
      </w:r>
    </w:p>
    <w:p>
      <w:pPr>
        <w:spacing w:before="0" w:after="0" w:line="408" w:lineRule="exact"/>
        <w:ind w:left="0" w:right="0" w:firstLine="576"/>
        <w:jc w:val="left"/>
      </w:pPr>
      <w:r>
        <w:rPr/>
        <w:t xml:space="preserve">Sections 2, 4, 6, and 8 of this act take effect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2025."</w:t>
      </w:r>
    </w:p>
    <w:p>
      <w:pPr>
        <w:spacing w:before="480" w:after="0" w:line="408" w:lineRule="exact"/>
      </w:pPr>
      <w:r>
        <w:rPr>
          <w:b/>
          <w:u w:val="single"/>
        </w:rPr>
        <w:t xml:space="preserve">EHB 1636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04/07/2023</w:t>
      </w:r>
    </w:p>
    <w:p>
      <w:pPr>
        <w:spacing w:before="0" w:after="0" w:line="408" w:lineRule="exact"/>
        <w:ind w:left="0" w:right="0" w:firstLine="576"/>
        <w:jc w:val="left"/>
      </w:pPr>
      <w:r>
        <w:rPr/>
        <w:t xml:space="preserve">On page 1, line 2 of the title, after "communities;" strike the remainder of the title and insert "amending RCW 64.32.200, 64.32.200, 64.34.364, 64.34.364, 64.38.100, 64.38.100, 64.90.485, and 64.90.485; amending 2021 c 222 ss 9 and 10 (uncodified); providing an effective date; and providing an expiration date."</w:t>
      </w:r>
    </w:p>
    <w:p>
      <w:pPr>
        <w:spacing w:before="0" w:after="0" w:line="408" w:lineRule="exact"/>
        <w:ind w:left="0" w:right="0" w:firstLine="576"/>
        <w:jc w:val="left"/>
      </w:pPr>
      <w:r>
        <w:rPr>
          <w:u w:val="single"/>
        </w:rPr>
        <w:t xml:space="preserve">EFFECT:</w:t>
      </w:r>
      <w:r>
        <w:rPr/>
        <w:t xml:space="preserve"> Increases the threshold of unpaid assessments from $200 to $2,000 that a unit owner must owe before a common interest community association may bring an action to foreclose a lien on a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8cfa3c9cdb45fb" /></Relationships>
</file>